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84" w:rsidRDefault="00A60884" w:rsidP="001D5091">
      <w:pPr>
        <w:spacing w:after="0" w:line="240" w:lineRule="auto"/>
        <w:jc w:val="center"/>
        <w:rPr>
          <w:rFonts w:ascii="Times New Roman" w:eastAsia="Times New Roman" w:hAnsi="Times New Roman" w:cs="Times New Roman"/>
          <w:b/>
          <w:sz w:val="20"/>
          <w:szCs w:val="20"/>
          <w:lang w:eastAsia="tr-TR"/>
        </w:rPr>
      </w:pPr>
    </w:p>
    <w:p w:rsidR="00A60884" w:rsidRPr="00A60884" w:rsidRDefault="00A60884" w:rsidP="00A60884">
      <w:pPr>
        <w:spacing w:after="0" w:line="240" w:lineRule="auto"/>
        <w:ind w:left="360" w:right="46" w:hanging="360"/>
        <w:jc w:val="both"/>
        <w:rPr>
          <w:rFonts w:ascii="Times New Roman" w:eastAsia="Times New Roman" w:hAnsi="Times New Roman" w:cs="Times New Roman"/>
          <w:b/>
          <w:sz w:val="20"/>
          <w:szCs w:val="20"/>
          <w:lang w:eastAsia="tr-TR"/>
        </w:rPr>
      </w:pPr>
      <w:r w:rsidRPr="00A60884">
        <w:rPr>
          <w:rFonts w:ascii="Times New Roman" w:eastAsia="Times New Roman" w:hAnsi="Times New Roman" w:cs="Times New Roman"/>
          <w:b/>
          <w:sz w:val="20"/>
          <w:szCs w:val="20"/>
          <w:lang w:eastAsia="tr-TR"/>
        </w:rPr>
        <w:t>Senato Tarihi</w:t>
      </w:r>
      <w:r w:rsidRPr="00A60884">
        <w:rPr>
          <w:rFonts w:ascii="Times New Roman" w:eastAsia="Times New Roman" w:hAnsi="Times New Roman" w:cs="Times New Roman"/>
          <w:b/>
          <w:sz w:val="20"/>
          <w:szCs w:val="20"/>
          <w:lang w:eastAsia="tr-TR"/>
        </w:rPr>
        <w:tab/>
      </w:r>
      <w:r w:rsidRPr="00A60884">
        <w:rPr>
          <w:rFonts w:ascii="Times New Roman" w:eastAsia="Times New Roman" w:hAnsi="Times New Roman" w:cs="Times New Roman"/>
          <w:b/>
          <w:sz w:val="20"/>
          <w:szCs w:val="20"/>
          <w:lang w:eastAsia="tr-TR"/>
        </w:rPr>
        <w:tab/>
        <w:t xml:space="preserve">: </w:t>
      </w:r>
      <w:proofErr w:type="gramStart"/>
      <w:r>
        <w:rPr>
          <w:rFonts w:ascii="Times New Roman" w:eastAsia="Times New Roman" w:hAnsi="Times New Roman" w:cs="Times New Roman"/>
          <w:b/>
          <w:sz w:val="20"/>
          <w:szCs w:val="20"/>
          <w:lang w:eastAsia="tr-TR"/>
        </w:rPr>
        <w:t>22/02/2019</w:t>
      </w:r>
      <w:proofErr w:type="gramEnd"/>
    </w:p>
    <w:p w:rsidR="00A60884" w:rsidRPr="00A60884" w:rsidRDefault="00A60884" w:rsidP="00A60884">
      <w:pPr>
        <w:spacing w:after="0" w:line="240" w:lineRule="auto"/>
        <w:ind w:right="46"/>
        <w:jc w:val="both"/>
        <w:rPr>
          <w:rFonts w:ascii="Times New Roman" w:eastAsia="Times New Roman" w:hAnsi="Times New Roman" w:cs="Times New Roman"/>
          <w:b/>
          <w:sz w:val="20"/>
          <w:szCs w:val="20"/>
          <w:lang w:eastAsia="tr-TR"/>
        </w:rPr>
      </w:pPr>
      <w:r w:rsidRPr="00A60884">
        <w:rPr>
          <w:rFonts w:ascii="Times New Roman" w:eastAsia="Times New Roman" w:hAnsi="Times New Roman" w:cs="Times New Roman"/>
          <w:b/>
          <w:sz w:val="20"/>
          <w:szCs w:val="20"/>
          <w:lang w:eastAsia="tr-TR"/>
        </w:rPr>
        <w:t>Karar No</w:t>
      </w:r>
      <w:r w:rsidRPr="00A60884">
        <w:rPr>
          <w:rFonts w:ascii="Times New Roman" w:eastAsia="Times New Roman" w:hAnsi="Times New Roman" w:cs="Times New Roman"/>
          <w:b/>
          <w:sz w:val="20"/>
          <w:szCs w:val="20"/>
          <w:lang w:eastAsia="tr-TR"/>
        </w:rPr>
        <w:tab/>
      </w:r>
      <w:r w:rsidRPr="00A60884">
        <w:rPr>
          <w:rFonts w:ascii="Times New Roman" w:eastAsia="Times New Roman" w:hAnsi="Times New Roman" w:cs="Times New Roman"/>
          <w:b/>
          <w:sz w:val="20"/>
          <w:szCs w:val="20"/>
          <w:lang w:eastAsia="tr-TR"/>
        </w:rPr>
        <w:tab/>
        <w:t>: 0</w:t>
      </w:r>
      <w:r>
        <w:rPr>
          <w:rFonts w:ascii="Times New Roman" w:eastAsia="Times New Roman" w:hAnsi="Times New Roman" w:cs="Times New Roman"/>
          <w:b/>
          <w:sz w:val="20"/>
          <w:szCs w:val="20"/>
          <w:lang w:eastAsia="tr-TR"/>
        </w:rPr>
        <w:t>6/05</w:t>
      </w:r>
    </w:p>
    <w:p w:rsidR="00A60884" w:rsidRDefault="00A60884" w:rsidP="001D5091">
      <w:pPr>
        <w:spacing w:after="0" w:line="240" w:lineRule="auto"/>
        <w:jc w:val="center"/>
        <w:rPr>
          <w:rFonts w:ascii="Times New Roman" w:hAnsi="Times New Roman"/>
          <w:b/>
          <w:color w:val="000000" w:themeColor="text1"/>
          <w:sz w:val="20"/>
          <w:szCs w:val="20"/>
        </w:rPr>
      </w:pPr>
    </w:p>
    <w:p w:rsidR="001D5091" w:rsidRPr="001D5091" w:rsidRDefault="001D5091" w:rsidP="001D5091">
      <w:pPr>
        <w:spacing w:after="0" w:line="240" w:lineRule="auto"/>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 xml:space="preserve">KIRIKKALE ÜNİVERSİTESİ </w:t>
      </w:r>
    </w:p>
    <w:p w:rsidR="001D5091" w:rsidRPr="001D5091" w:rsidRDefault="001D5091" w:rsidP="001D5091">
      <w:pPr>
        <w:spacing w:after="0" w:line="240" w:lineRule="auto"/>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GÜVENLİK SORUŞTURMASI VE ARŞİV ARAŞTIRMASI YÖNERGESİ</w:t>
      </w:r>
    </w:p>
    <w:p w:rsidR="001D5091" w:rsidRPr="001D5091" w:rsidRDefault="001D5091" w:rsidP="001D5091">
      <w:pPr>
        <w:spacing w:after="0" w:line="240" w:lineRule="auto"/>
        <w:jc w:val="center"/>
        <w:rPr>
          <w:rFonts w:ascii="Times New Roman" w:hAnsi="Times New Roman"/>
          <w:b/>
          <w:color w:val="000000" w:themeColor="text1"/>
          <w:sz w:val="20"/>
          <w:szCs w:val="20"/>
        </w:rPr>
      </w:pPr>
    </w:p>
    <w:p w:rsidR="001D5091" w:rsidRPr="001D5091" w:rsidRDefault="001D5091" w:rsidP="001D5091">
      <w:pPr>
        <w:spacing w:after="0" w:line="240" w:lineRule="auto"/>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BİRİNCİ BÖLÜM</w:t>
      </w:r>
    </w:p>
    <w:p w:rsidR="001D5091" w:rsidRPr="001D5091" w:rsidRDefault="001D5091" w:rsidP="001D5091">
      <w:pPr>
        <w:spacing w:after="0" w:line="240" w:lineRule="auto"/>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Amaç, Kapsam, Dayanak ve Tanımlar</w:t>
      </w:r>
      <w:bookmarkStart w:id="0" w:name="_GoBack"/>
      <w:bookmarkEnd w:id="0"/>
    </w:p>
    <w:p w:rsidR="001D5091" w:rsidRPr="001D5091" w:rsidRDefault="001D5091" w:rsidP="001D5091">
      <w:pPr>
        <w:spacing w:after="0" w:line="240" w:lineRule="auto"/>
        <w:ind w:firstLine="709"/>
        <w:rPr>
          <w:rFonts w:ascii="Times New Roman" w:hAnsi="Times New Roman"/>
          <w:color w:val="000000" w:themeColor="text1"/>
          <w:sz w:val="20"/>
          <w:szCs w:val="20"/>
        </w:rPr>
      </w:pPr>
      <w:r w:rsidRPr="001D5091">
        <w:rPr>
          <w:rFonts w:ascii="Times New Roman" w:hAnsi="Times New Roman"/>
          <w:b/>
          <w:color w:val="000000" w:themeColor="text1"/>
          <w:sz w:val="20"/>
          <w:szCs w:val="20"/>
        </w:rPr>
        <w:t>Amaç</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1- </w:t>
      </w:r>
      <w:r w:rsidRPr="001D5091">
        <w:rPr>
          <w:rFonts w:ascii="Times New Roman" w:hAnsi="Times New Roman"/>
          <w:color w:val="000000" w:themeColor="text1"/>
          <w:sz w:val="20"/>
          <w:szCs w:val="20"/>
        </w:rPr>
        <w:t>(1) Bu Yönergenin amacı; Kırıkkale Üniversitesinde bulunan gizlilik dereceli birimler ve kısımlar ile bunların görevlerini tespit etmek, bu birim ve görevlerde ilk defa çalışacak veya yeniden atanacak personel hakkında yapılacak güvenlik soruşturması ve arşiv araştırmasının usul ve esaslarını belirlemektir.</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p>
    <w:p w:rsidR="001D5091" w:rsidRPr="001D5091" w:rsidRDefault="001D5091" w:rsidP="001D5091">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Kapsam</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2- </w:t>
      </w:r>
      <w:r w:rsidRPr="001D5091">
        <w:rPr>
          <w:rFonts w:ascii="Times New Roman" w:hAnsi="Times New Roman"/>
          <w:color w:val="000000" w:themeColor="text1"/>
          <w:sz w:val="20"/>
          <w:szCs w:val="20"/>
        </w:rPr>
        <w:t>(1) Bu Yönerge; Kırıkkale Üniversitesinde bulunan gizlilik dereceli birimlere kısımlara ve görevlere ilk defa veya yeniden atanacak personel için yapılacak güvenlik soruşturması ve arşiv araştırmasının esas ve usulleri ile bu işlemleri yapacak mercileri kapsar.</w:t>
      </w:r>
    </w:p>
    <w:p w:rsidR="001D5091" w:rsidRDefault="001D5091" w:rsidP="001D5091">
      <w:pPr>
        <w:spacing w:after="0" w:line="240" w:lineRule="auto"/>
        <w:ind w:firstLine="709"/>
        <w:jc w:val="both"/>
        <w:rPr>
          <w:rFonts w:ascii="Times New Roman" w:hAnsi="Times New Roman"/>
          <w:b/>
          <w:color w:val="000000" w:themeColor="text1"/>
          <w:sz w:val="20"/>
          <w:szCs w:val="20"/>
        </w:rPr>
      </w:pPr>
    </w:p>
    <w:p w:rsidR="001D5091" w:rsidRPr="001D5091" w:rsidRDefault="001D5091" w:rsidP="001D5091">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Dayanak</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3- </w:t>
      </w:r>
      <w:r w:rsidRPr="001D5091">
        <w:rPr>
          <w:rFonts w:ascii="Times New Roman" w:hAnsi="Times New Roman"/>
          <w:color w:val="000000" w:themeColor="text1"/>
          <w:sz w:val="20"/>
          <w:szCs w:val="20"/>
        </w:rPr>
        <w:t xml:space="preserve">(1) Bu Yönerge, </w:t>
      </w:r>
      <w:proofErr w:type="gramStart"/>
      <w:r w:rsidRPr="001D5091">
        <w:rPr>
          <w:rFonts w:ascii="Times New Roman" w:hAnsi="Times New Roman"/>
          <w:color w:val="000000" w:themeColor="text1"/>
          <w:sz w:val="20"/>
          <w:szCs w:val="20"/>
        </w:rPr>
        <w:t>12/04/2000</w:t>
      </w:r>
      <w:proofErr w:type="gramEnd"/>
      <w:r w:rsidRPr="001D5091">
        <w:rPr>
          <w:rFonts w:ascii="Times New Roman" w:hAnsi="Times New Roman"/>
          <w:color w:val="000000" w:themeColor="text1"/>
          <w:sz w:val="20"/>
          <w:szCs w:val="20"/>
        </w:rPr>
        <w:t xml:space="preserve"> tarihli ve 24018 sayılı Resmî </w:t>
      </w:r>
      <w:proofErr w:type="spellStart"/>
      <w:r w:rsidRPr="001D5091">
        <w:rPr>
          <w:rFonts w:ascii="Times New Roman" w:hAnsi="Times New Roman"/>
          <w:color w:val="000000" w:themeColor="text1"/>
          <w:sz w:val="20"/>
          <w:szCs w:val="20"/>
        </w:rPr>
        <w:t>Gazete’de</w:t>
      </w:r>
      <w:proofErr w:type="spellEnd"/>
      <w:r w:rsidRPr="001D5091">
        <w:rPr>
          <w:rFonts w:ascii="Times New Roman" w:hAnsi="Times New Roman"/>
          <w:color w:val="000000" w:themeColor="text1"/>
          <w:sz w:val="20"/>
          <w:szCs w:val="20"/>
        </w:rPr>
        <w:t xml:space="preserve"> yayımlanan Güvenlik Soruşturması ve Arşiv Araştırması Yönetmeliğinin 6. maddesine dayanılarak hazırlanmıştır.</w:t>
      </w:r>
    </w:p>
    <w:p w:rsidR="001D5091" w:rsidRDefault="001D5091" w:rsidP="001D5091">
      <w:pPr>
        <w:spacing w:after="0" w:line="240" w:lineRule="auto"/>
        <w:ind w:firstLine="709"/>
        <w:jc w:val="both"/>
        <w:rPr>
          <w:rFonts w:ascii="Times New Roman" w:hAnsi="Times New Roman"/>
          <w:b/>
          <w:color w:val="000000" w:themeColor="text1"/>
          <w:sz w:val="20"/>
          <w:szCs w:val="20"/>
        </w:rPr>
      </w:pPr>
    </w:p>
    <w:p w:rsidR="001D5091" w:rsidRPr="001D5091" w:rsidRDefault="001D5091" w:rsidP="001D5091">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Tanımlar</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4- </w:t>
      </w:r>
      <w:r w:rsidRPr="001D5091">
        <w:rPr>
          <w:rFonts w:ascii="Times New Roman" w:hAnsi="Times New Roman"/>
          <w:color w:val="000000" w:themeColor="text1"/>
          <w:sz w:val="20"/>
          <w:szCs w:val="20"/>
        </w:rPr>
        <w:t>(1) Bu Yönergede geçen;</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a) Arşiv Araştırması: Kişinin kolluk kuvvetleri tarafından halen aranıp aranmadığının, kolluk kuvvetleri ve istihbarat ünitelerinde ilişiği ile adli sicil kaydının ve hakkında herhangi bir tehdit olup olmadığının mevcut kayıtlardan saptanmasını,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b) Bilmesi Gereken: Bir gizli evrakı veya dokümanı ancak görevinden dolayı öğrenen, onu inceleyen, uygulayan ve korumaktan sorumlu bulunanları,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c) Gizlilik Dereceleri: Yetkisiz kimselere açıklanması sakıncalı görülen bilgilerin önem derecesine göre sıralanmasını ve adlandırılmasını,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 xml:space="preserve">ç) Güvenlik Soruşturması: Kişinin kolluk kuvvetleri tarafından halen aranıp aranmadığının, kolluk kuvvetleri ve istihbarat ünitelerinde ilişiği ile adli sicil kaydının ve hakkında bir </w:t>
      </w:r>
      <w:proofErr w:type="gramStart"/>
      <w:r w:rsidRPr="001D5091">
        <w:rPr>
          <w:rFonts w:ascii="Times New Roman" w:hAnsi="Times New Roman"/>
          <w:color w:val="000000" w:themeColor="text1"/>
          <w:sz w:val="20"/>
          <w:szCs w:val="20"/>
        </w:rPr>
        <w:t>tahdit</w:t>
      </w:r>
      <w:proofErr w:type="gramEnd"/>
      <w:r w:rsidRPr="001D5091">
        <w:rPr>
          <w:rFonts w:ascii="Times New Roman" w:hAnsi="Times New Roman"/>
          <w:color w:val="000000" w:themeColor="text1"/>
          <w:sz w:val="20"/>
          <w:szCs w:val="20"/>
        </w:rPr>
        <w:t xml:space="preserve"> olup olmadığının, yıkıcı ve bölücü faaliyetlerde bulunup bulunmadığının, ahlaki durumunun, yabancılar ile ilgisinin ve sır saklama yeteneğinin mevcut kayıtlardan ve yerinden araştırılmak suretiyle tespiti ve değerlendirilmesini, </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d) Gizlilik Dereceli Bilgi ve Belgeler: Kırıkkale Üniversitesi birimlerinde yetkili olmayan kişilerin bilgi sahibi olmaları halinde devletin güvenliğini, iç ve dış menfaatlerini, ulusal varlığını ve bütünlüğünü zarara uğratabilecek veya tehlikeye düşürebilecek mesaj, doküman, rapor, araç, gereç, tesis ve yerler hakkında kayıt edilmiş veya edilmemiş bilgi ve belgeleri,</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e) Gizlilik Dereceli Yer: Gizlilik dereceli mesaj, rapor, doküman, bilgi, belge, araç, gereç ve tesisler ile korunmaması halinde iç ve dış milli menfaatlerimizin zarar görebileceği materyallerin muhafaza edildiği, bulundurulduğu ve bunların korunması için güvenlik tedbirleri alınmamış olan her türlü dolap, kasa, oda ve sınırlandırılmış bölgeyi,</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f) Personel Daire Başkanlığı: Kırıkkale Üniversitesi Personel Daire Başkanlığını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g) Rektör: Kırıkkale Üniversitesi Rektörünü,</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ğ) Rektörlük: Kırıkkale Üniversitesi Rektörlüğünü,</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h) Senato: Kırıkkale Üniversitesi Senatosunu,</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ı) Üniversite: Kırıkkale Üniversitesini,</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i) Yönerge: Kırıkkale Üniversitesi Güvenlik Soruşturması ve Arşiv Araştırması Yönergesini,</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j) Yönetmelik: Güvenlik Soruşturması ve Arşiv Araştırması Yönetmeliğini,</w:t>
      </w:r>
    </w:p>
    <w:p w:rsidR="001D5091" w:rsidRPr="001D5091" w:rsidRDefault="001D5091" w:rsidP="001D5091">
      <w:pPr>
        <w:spacing w:after="120" w:line="240" w:lineRule="auto"/>
        <w:ind w:firstLine="709"/>
        <w:rPr>
          <w:rFonts w:ascii="Times New Roman" w:hAnsi="Times New Roman"/>
          <w:color w:val="000000" w:themeColor="text1"/>
          <w:sz w:val="20"/>
          <w:szCs w:val="20"/>
        </w:rPr>
      </w:pPr>
      <w:proofErr w:type="gramStart"/>
      <w:r w:rsidRPr="001D5091">
        <w:rPr>
          <w:rFonts w:ascii="Times New Roman" w:hAnsi="Times New Roman"/>
          <w:color w:val="000000" w:themeColor="text1"/>
          <w:sz w:val="20"/>
          <w:szCs w:val="20"/>
        </w:rPr>
        <w:t>ifade</w:t>
      </w:r>
      <w:proofErr w:type="gramEnd"/>
      <w:r w:rsidRPr="001D5091">
        <w:rPr>
          <w:rFonts w:ascii="Times New Roman" w:hAnsi="Times New Roman"/>
          <w:color w:val="000000" w:themeColor="text1"/>
          <w:sz w:val="20"/>
          <w:szCs w:val="20"/>
        </w:rPr>
        <w:t xml:space="preserve"> eder.</w:t>
      </w:r>
    </w:p>
    <w:p w:rsidR="00A60884" w:rsidRDefault="00A60884">
      <w:pPr>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rsidR="001D5091" w:rsidRPr="001D5091" w:rsidRDefault="001D5091" w:rsidP="001D5091">
      <w:pPr>
        <w:spacing w:after="0" w:line="240" w:lineRule="auto"/>
        <w:ind w:firstLine="709"/>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lastRenderedPageBreak/>
        <w:t>İKİNCİ BÖLÜM</w:t>
      </w:r>
    </w:p>
    <w:p w:rsidR="001D5091" w:rsidRPr="001D5091" w:rsidRDefault="001D5091" w:rsidP="001D5091">
      <w:pPr>
        <w:spacing w:after="0" w:line="240" w:lineRule="auto"/>
        <w:ind w:firstLine="709"/>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Gizlilik Derecesinin Sınıflandırılması ve Gizlilik Dereceli Birimler</w:t>
      </w:r>
    </w:p>
    <w:p w:rsidR="00A60884" w:rsidRDefault="00A60884" w:rsidP="001D5091">
      <w:pPr>
        <w:spacing w:after="0" w:line="240" w:lineRule="auto"/>
        <w:ind w:firstLine="709"/>
        <w:jc w:val="both"/>
        <w:rPr>
          <w:rFonts w:ascii="Times New Roman" w:hAnsi="Times New Roman"/>
          <w:b/>
          <w:color w:val="000000" w:themeColor="text1"/>
          <w:sz w:val="20"/>
          <w:szCs w:val="20"/>
        </w:rPr>
      </w:pPr>
    </w:p>
    <w:p w:rsidR="001D5091" w:rsidRPr="001D5091" w:rsidRDefault="001D5091" w:rsidP="001D5091">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Gizlilik derecesinin sınıflandırılması</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5- </w:t>
      </w:r>
      <w:r w:rsidRPr="001D5091">
        <w:rPr>
          <w:rFonts w:ascii="Times New Roman" w:hAnsi="Times New Roman"/>
          <w:color w:val="000000" w:themeColor="text1"/>
          <w:sz w:val="20"/>
          <w:szCs w:val="20"/>
        </w:rPr>
        <w:t>(1) Gizlilik dereceleri aşağıda belirtildiği şekilde dört sınıfa ayrılır:</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proofErr w:type="gramStart"/>
      <w:r w:rsidRPr="001D5091">
        <w:rPr>
          <w:rFonts w:ascii="Times New Roman" w:hAnsi="Times New Roman"/>
          <w:color w:val="000000" w:themeColor="text1"/>
          <w:sz w:val="20"/>
          <w:szCs w:val="20"/>
        </w:rPr>
        <w:t>a) Çok gizli: Bilmesi gerekenlerin dışında diğer kişilerin bilmelerinin istenmediği ve izinsiz açıklandığı takdirde Devletin güvenliğine, ulusal varlık ve bütünlüğe, iç ve dış menfaatlerimize hayati bakımdan son derece büyük zararlar verecek, yabancı bir devlete faydalar sağlayacak ve güvenlik bakımından olağanüstü önemi haiz mesaj, rapor, doküman, araç, gereç, tesis ve yerler için kullanılır.</w:t>
      </w:r>
      <w:proofErr w:type="gramEnd"/>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b) Gizli: Bilmesi gerekenlerin dışında diğer kişilerin bilmelerinin istenmediği ve izinsiz açıklandığı takdirde Devletin güvenliğine, ulusal varlık ve bütünlüğe, iç ve dış menfaatlerimize ciddi şekilde zarar verecek, yabancı bir devlete faydalar sağlayacak nitelikte olan mesaj, rapor, doküman, araç, gereç, tesis ve yerler için kullanılır.</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 xml:space="preserve">c) Özel: İzinsiz açıklandığı takdirde, Devletin menfaat ve </w:t>
      </w:r>
      <w:proofErr w:type="gramStart"/>
      <w:r w:rsidRPr="001D5091">
        <w:rPr>
          <w:rFonts w:ascii="Times New Roman" w:hAnsi="Times New Roman"/>
          <w:color w:val="000000" w:themeColor="text1"/>
          <w:sz w:val="20"/>
          <w:szCs w:val="20"/>
        </w:rPr>
        <w:t>prestijini</w:t>
      </w:r>
      <w:proofErr w:type="gramEnd"/>
      <w:r w:rsidRPr="001D5091">
        <w:rPr>
          <w:rFonts w:ascii="Times New Roman" w:hAnsi="Times New Roman"/>
          <w:color w:val="000000" w:themeColor="text1"/>
          <w:sz w:val="20"/>
          <w:szCs w:val="20"/>
        </w:rPr>
        <w:t xml:space="preserve"> haleldar edecek veya yabancı bir devlete faydalar sağlayacak nitelikte olan mesaj, rapor, doküman, araç, gereç, tesis ve yerler için kullanılır. </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ç) Hizmete özel: Kapsadığı bilgi itibarıyla çok gizli, gizli veya özel gizlilik dereceleri ile korunması gerekmeyen fakat bilmesi gerekenlerden başkası tarafından bilinmesi istenmeyen mesaj, rapor, doküman, araç, gereç, tesis ve yerler için kullanılır.</w:t>
      </w:r>
    </w:p>
    <w:p w:rsidR="001D5091" w:rsidRPr="001D5091" w:rsidRDefault="001D5091" w:rsidP="001D5091">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 xml:space="preserve">Gizlilik Dereceli Birimler </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MADDE 6-</w:t>
      </w:r>
      <w:r w:rsidRPr="001D5091">
        <w:rPr>
          <w:rFonts w:ascii="Times New Roman" w:hAnsi="Times New Roman"/>
          <w:color w:val="000000" w:themeColor="text1"/>
          <w:sz w:val="20"/>
          <w:szCs w:val="20"/>
        </w:rPr>
        <w:t xml:space="preserve"> (1) Üniversitedeki gizlilik dereceli birimler ve kısımlar ile bunların gizlilik dereceleri Yönerge eki tabloda gösterilmiştir.  </w:t>
      </w:r>
    </w:p>
    <w:p w:rsidR="00A60884" w:rsidRDefault="00A60884" w:rsidP="001D5091">
      <w:pPr>
        <w:spacing w:after="0" w:line="240" w:lineRule="auto"/>
        <w:ind w:firstLine="709"/>
        <w:jc w:val="center"/>
        <w:rPr>
          <w:rFonts w:ascii="Times New Roman" w:hAnsi="Times New Roman"/>
          <w:b/>
          <w:color w:val="000000" w:themeColor="text1"/>
          <w:sz w:val="20"/>
          <w:szCs w:val="20"/>
        </w:rPr>
      </w:pPr>
    </w:p>
    <w:p w:rsidR="001D5091" w:rsidRPr="001D5091" w:rsidRDefault="001D5091" w:rsidP="001D5091">
      <w:pPr>
        <w:spacing w:after="0" w:line="240" w:lineRule="auto"/>
        <w:ind w:firstLine="709"/>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ÜÇÜNCÜ BÖLÜM</w:t>
      </w:r>
    </w:p>
    <w:p w:rsidR="001D5091" w:rsidRPr="001D5091" w:rsidRDefault="001D5091" w:rsidP="001D5091">
      <w:pPr>
        <w:spacing w:after="0" w:line="240" w:lineRule="auto"/>
        <w:ind w:firstLine="709"/>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Güvenlik Soruşturması ve Arşiv Araştırmasını Yapacak Makamlar,</w:t>
      </w:r>
    </w:p>
    <w:p w:rsidR="001D5091" w:rsidRPr="001D5091" w:rsidRDefault="001D5091" w:rsidP="001D5091">
      <w:pPr>
        <w:spacing w:after="0" w:line="240" w:lineRule="auto"/>
        <w:ind w:firstLine="709"/>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 xml:space="preserve"> Soruşturma ve Araştırmaya Tabi Personel ile Uygulanacak Usul ve Esaslar</w:t>
      </w:r>
    </w:p>
    <w:p w:rsidR="00A60884" w:rsidRDefault="00A60884" w:rsidP="00FD1CDF">
      <w:pPr>
        <w:spacing w:after="0" w:line="240" w:lineRule="auto"/>
        <w:ind w:firstLine="709"/>
        <w:jc w:val="both"/>
        <w:rPr>
          <w:rFonts w:ascii="Times New Roman" w:hAnsi="Times New Roman"/>
          <w:b/>
          <w:color w:val="000000" w:themeColor="text1"/>
          <w:sz w:val="20"/>
          <w:szCs w:val="20"/>
        </w:rPr>
      </w:pPr>
    </w:p>
    <w:p w:rsidR="001D5091" w:rsidRPr="001D5091" w:rsidRDefault="001D5091" w:rsidP="00FD1CDF">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Güvenlik soruşturması ve arşiv araştırması yapacak makamlar</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MADDE 7-</w:t>
      </w:r>
      <w:r w:rsidRPr="001D5091">
        <w:rPr>
          <w:rFonts w:ascii="Times New Roman" w:hAnsi="Times New Roman"/>
          <w:color w:val="000000" w:themeColor="text1"/>
          <w:sz w:val="20"/>
          <w:szCs w:val="20"/>
        </w:rPr>
        <w:t xml:space="preserve"> (1) Güvenlik soruşturması ve arşiv araştırması, Rektörlüğün talebi üzerine, Emniyet Genel Müdürlüğü ve/veya Mahalli Mülki İdare Amirlikleri tarafından yapılır.</w:t>
      </w:r>
    </w:p>
    <w:p w:rsidR="00FD1CDF" w:rsidRDefault="00FD1CDF" w:rsidP="00FD1CDF">
      <w:pPr>
        <w:spacing w:after="0" w:line="240" w:lineRule="auto"/>
        <w:ind w:firstLine="709"/>
        <w:jc w:val="both"/>
        <w:rPr>
          <w:rFonts w:ascii="Times New Roman" w:hAnsi="Times New Roman"/>
          <w:b/>
          <w:color w:val="000000" w:themeColor="text1"/>
          <w:sz w:val="20"/>
          <w:szCs w:val="20"/>
        </w:rPr>
      </w:pPr>
    </w:p>
    <w:p w:rsidR="001D5091" w:rsidRPr="001D5091" w:rsidRDefault="001D5091" w:rsidP="00FD1CDF">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Hakkında güvenlik soruşturması ve arşiv araştırması yapılacak personel</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8- </w:t>
      </w:r>
      <w:r w:rsidRPr="001D5091">
        <w:rPr>
          <w:rFonts w:ascii="Times New Roman" w:hAnsi="Times New Roman"/>
          <w:color w:val="000000" w:themeColor="text1"/>
          <w:sz w:val="20"/>
          <w:szCs w:val="20"/>
        </w:rPr>
        <w:t>(1) Yönergenin kapsamında haklarında Emniyet Genel Müdürlüğü ve/veya mülki idare amirliklerince güvenlik soruşturması ve arşiv araştırması yapılacak personel şunlardır:</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a) Üniversite kadrolarına açıktan ve yeniden atanacak öğretim elemanları,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b) Üniversite kadrolarına açıktan ve yeniden atanacak 657 sayılı Devlet Memurları Kanununun 4’üncü maddesinde belirtilen personel,</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c) 2547 sayılı Yükseköğretim Kanununun 34’üncü maddesine göre sözleşmeli olarak çalıştırılacak yabancı uyruklu öğretim elemanları,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ç) 2914 sayılı Yükseköğretim Personel Kanununun 17’inci maddesine göre sözleşmeli olarak çalıştırılacak emekli öğretim elemanları,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d) Üniversite birimlerince veya Üniversite ortaklığı ile diğer kamu veya özel sektör kurum ve kuruluşlarıyla yürütülecek her türlü proje kapsamında istihdam edilecekler.</w:t>
      </w:r>
    </w:p>
    <w:p w:rsidR="001D5091" w:rsidRPr="001D5091" w:rsidRDefault="001D5091" w:rsidP="001D5091">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Güvenlik soruşturması ve arşiv araştırmasının yenilenmesi</w:t>
      </w:r>
    </w:p>
    <w:p w:rsidR="001D5091" w:rsidRPr="001D5091" w:rsidRDefault="001D5091" w:rsidP="001D5091">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9- </w:t>
      </w:r>
      <w:r w:rsidRPr="001D5091">
        <w:rPr>
          <w:rFonts w:ascii="Times New Roman" w:hAnsi="Times New Roman"/>
          <w:color w:val="000000" w:themeColor="text1"/>
          <w:sz w:val="20"/>
          <w:szCs w:val="20"/>
        </w:rPr>
        <w:t>(1) Gerekli görülen hallerde Rektörlükçe ilgili kişiler hakkında güvenlik soruşturması ve arşiv araştırmasının yenilenmesi istenebilir.</w:t>
      </w:r>
    </w:p>
    <w:p w:rsidR="00A60884" w:rsidRDefault="00A60884" w:rsidP="00FD1CDF">
      <w:pPr>
        <w:spacing w:after="0" w:line="240" w:lineRule="auto"/>
        <w:ind w:firstLine="709"/>
        <w:jc w:val="both"/>
        <w:rPr>
          <w:rFonts w:ascii="Times New Roman" w:hAnsi="Times New Roman"/>
          <w:b/>
          <w:color w:val="000000" w:themeColor="text1"/>
          <w:sz w:val="20"/>
          <w:szCs w:val="20"/>
        </w:rPr>
      </w:pPr>
    </w:p>
    <w:p w:rsidR="001D5091" w:rsidRPr="001D5091" w:rsidRDefault="001D5091" w:rsidP="00FD1CDF">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Güvenlik soruşturması ve arşiv araştırmasında izlenecek usul</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10 - </w:t>
      </w:r>
      <w:r w:rsidRPr="001D5091">
        <w:rPr>
          <w:rFonts w:ascii="Times New Roman" w:hAnsi="Times New Roman"/>
          <w:color w:val="000000" w:themeColor="text1"/>
          <w:sz w:val="20"/>
          <w:szCs w:val="20"/>
        </w:rPr>
        <w:t>(1) Hakkında güvenlik soruşturması talep edilen personel için Adalet Bakanlığı Adli Sicil ve İstatistik Genel Müdürlüğünden alınacak adli sicil kaydı, nüfus cüzdanı örneği ve Güvenlik Soruşturması ve Arşiv Araştırması Formu eksiksiz olarak doldurulur.</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(2) Doldurulan formlardan birer örnek Rektörlükçe istek yazısı ekinde ilgisine göre, Emniyet Genel Müdürlüğüne veya mahalli mülki amirliklere gönderilir. Bir örneği de kişinin kendi özlük dosyasında saklanır.</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(3) Hakkında arşiv araştırması ve güvenlik soruşturması talep edilen personelin yazılı muvafakati alınmak kaydıyla Emniyet Genel Müdürlüğü ve/veya mülki idare amirlikleri tarafından güvenlik soruşturması veya arşiv araştırması yapılır.</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lastRenderedPageBreak/>
        <w:t>(4) Yasal süresi içerisinde sonucu gelmeyen Güvenlik Soruşturması ve Arşiv Araştırması yeniden talep edilir.</w:t>
      </w:r>
    </w:p>
    <w:p w:rsidR="001D5091" w:rsidRPr="001D5091" w:rsidRDefault="001D5091" w:rsidP="00FD1CDF">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Güvenlik soruşturması ve arşiv araştırmasında tetkik edilecek hususlar</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MADDE 11-</w:t>
      </w:r>
      <w:r w:rsidRPr="001D5091">
        <w:rPr>
          <w:rFonts w:ascii="Times New Roman" w:hAnsi="Times New Roman"/>
          <w:color w:val="000000" w:themeColor="text1"/>
          <w:sz w:val="20"/>
          <w:szCs w:val="20"/>
        </w:rPr>
        <w:t>(1) Güvenlik soruşturması ve arşiv araştırmasında kişinin içinde bulunduğu ortam dikkate alınarak, kişinin kayıtlı ikamet adresi ile fiilen ikamet ettiği adres esas alınmak suretiyle;</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a) Kimlik kontrolü, kimlik kayıtlarının doğruluk derecesi, uyruğu, geçmişte yabancı bir devletin uyruğuna girip girmediği,</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b) Genel kolluk kuvvetlerinin ve istihbarat birimlerinin arşivlerinde bilgiler bulunup bulunmadığı, adli sicil kaydının ve hakkında arama kaydı veya herhangi bir tahdidin olup olmadığı,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 xml:space="preserve">c) Terör örgütlerine veya Milli Güvenlik Kurulunca Devletin milli güvenliğine karşı faaliyette bulunduğuna karar verilen yapı, oluşum veya gruplara üyeliği, mensubiyeti veya </w:t>
      </w:r>
      <w:proofErr w:type="spellStart"/>
      <w:r w:rsidRPr="001D5091">
        <w:rPr>
          <w:rFonts w:ascii="Times New Roman" w:hAnsi="Times New Roman"/>
          <w:color w:val="000000" w:themeColor="text1"/>
          <w:sz w:val="20"/>
          <w:szCs w:val="20"/>
        </w:rPr>
        <w:t>iltisakının</w:t>
      </w:r>
      <w:proofErr w:type="spellEnd"/>
      <w:r w:rsidRPr="001D5091">
        <w:rPr>
          <w:rFonts w:ascii="Times New Roman" w:hAnsi="Times New Roman"/>
          <w:color w:val="000000" w:themeColor="text1"/>
          <w:sz w:val="20"/>
          <w:szCs w:val="20"/>
        </w:rPr>
        <w:t xml:space="preserve"> bulunup bulunmadığı ve 5816 sayılı Atatürk Aleyhine İşlenen Suçlar Hakkında Kanuna ve Atatürk ilke ve inkılâplarına aykırı davranıp davranmadığı,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ç) Şeref ve haysiyetini ihlal edecek ve görevine yansıyacak şekilde kumara, uyuşturucuya, içkiye, paraya ve aşırı bir şekilde menfaatine düşkün olup olmadığı, ahlak ve adaba aykırı davranıp davranmadığı,</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 xml:space="preserve">d) Yabancılarla, özellikle hasım ve hasım olması muhtemel Devlet mensupları ve temsilcileriyle ilgili derecesinin iç yüzü ve nedeni, </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proofErr w:type="gramStart"/>
      <w:r w:rsidRPr="001D5091">
        <w:rPr>
          <w:rFonts w:ascii="Times New Roman" w:hAnsi="Times New Roman"/>
          <w:color w:val="000000" w:themeColor="text1"/>
          <w:sz w:val="20"/>
          <w:szCs w:val="20"/>
        </w:rPr>
        <w:t>araştırılır</w:t>
      </w:r>
      <w:proofErr w:type="gramEnd"/>
      <w:r w:rsidRPr="001D5091">
        <w:rPr>
          <w:rFonts w:ascii="Times New Roman" w:hAnsi="Times New Roman"/>
          <w:color w:val="000000" w:themeColor="text1"/>
          <w:sz w:val="20"/>
          <w:szCs w:val="20"/>
        </w:rPr>
        <w:t>.</w:t>
      </w:r>
    </w:p>
    <w:p w:rsidR="001D5091" w:rsidRPr="001D5091" w:rsidRDefault="001D5091" w:rsidP="001D5091">
      <w:pPr>
        <w:spacing w:after="0" w:line="240" w:lineRule="auto"/>
        <w:ind w:firstLine="709"/>
        <w:rPr>
          <w:rFonts w:ascii="Times New Roman" w:hAnsi="Times New Roman"/>
          <w:b/>
          <w:color w:val="000000" w:themeColor="text1"/>
          <w:sz w:val="20"/>
          <w:szCs w:val="20"/>
        </w:rPr>
      </w:pPr>
    </w:p>
    <w:p w:rsidR="001D5091" w:rsidRPr="001D5091" w:rsidRDefault="001D5091" w:rsidP="00FD1CDF">
      <w:pPr>
        <w:spacing w:after="0" w:line="240" w:lineRule="auto"/>
        <w:ind w:firstLine="709"/>
        <w:rPr>
          <w:rFonts w:ascii="Times New Roman" w:hAnsi="Times New Roman"/>
          <w:b/>
          <w:color w:val="000000" w:themeColor="text1"/>
          <w:sz w:val="20"/>
          <w:szCs w:val="20"/>
        </w:rPr>
      </w:pPr>
      <w:r w:rsidRPr="001D5091">
        <w:rPr>
          <w:rFonts w:ascii="Times New Roman" w:hAnsi="Times New Roman"/>
          <w:b/>
          <w:color w:val="000000" w:themeColor="text1"/>
          <w:sz w:val="20"/>
          <w:szCs w:val="20"/>
        </w:rPr>
        <w:t>Gizliliğe uyma</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12- </w:t>
      </w:r>
      <w:r w:rsidRPr="001D5091">
        <w:rPr>
          <w:rFonts w:ascii="Times New Roman" w:hAnsi="Times New Roman"/>
          <w:color w:val="000000" w:themeColor="text1"/>
          <w:sz w:val="20"/>
          <w:szCs w:val="20"/>
        </w:rPr>
        <w:t>(1) Güvenlik soruşturması ve arşiv araştırmasının her safhasında kesinlikle gizliliğe uyulur. Soruşturma ve araştırma sonuçları, bilmesi gerekenlerden başkasına açıklanamaz.</w:t>
      </w:r>
    </w:p>
    <w:p w:rsidR="00FD1CDF" w:rsidRDefault="00FD1CDF" w:rsidP="001D5091">
      <w:pPr>
        <w:spacing w:after="120" w:line="240" w:lineRule="auto"/>
        <w:ind w:firstLine="709"/>
        <w:jc w:val="center"/>
        <w:rPr>
          <w:rFonts w:ascii="Times New Roman" w:hAnsi="Times New Roman"/>
          <w:b/>
          <w:color w:val="000000" w:themeColor="text1"/>
          <w:sz w:val="20"/>
          <w:szCs w:val="20"/>
        </w:rPr>
      </w:pPr>
    </w:p>
    <w:p w:rsidR="001D5091" w:rsidRPr="001D5091" w:rsidRDefault="001D5091" w:rsidP="00FD1CDF">
      <w:pPr>
        <w:spacing w:after="0" w:line="240" w:lineRule="auto"/>
        <w:ind w:firstLine="709"/>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 xml:space="preserve">DÖRDÜNCÜ BÖLÜM </w:t>
      </w:r>
    </w:p>
    <w:p w:rsidR="001D5091" w:rsidRPr="001D5091" w:rsidRDefault="001D5091" w:rsidP="00FD1CDF">
      <w:pPr>
        <w:spacing w:after="0" w:line="240" w:lineRule="auto"/>
        <w:ind w:firstLine="709"/>
        <w:jc w:val="center"/>
        <w:rPr>
          <w:rFonts w:ascii="Times New Roman" w:hAnsi="Times New Roman"/>
          <w:b/>
          <w:color w:val="000000" w:themeColor="text1"/>
          <w:sz w:val="20"/>
          <w:szCs w:val="20"/>
        </w:rPr>
      </w:pPr>
      <w:r w:rsidRPr="001D5091">
        <w:rPr>
          <w:rFonts w:ascii="Times New Roman" w:hAnsi="Times New Roman"/>
          <w:b/>
          <w:color w:val="000000" w:themeColor="text1"/>
          <w:sz w:val="20"/>
          <w:szCs w:val="20"/>
        </w:rPr>
        <w:t>Çeşitli ve Son Hükümler</w:t>
      </w:r>
    </w:p>
    <w:p w:rsidR="001D5091" w:rsidRPr="001D5091" w:rsidRDefault="001D5091" w:rsidP="00FD1CDF">
      <w:pPr>
        <w:spacing w:after="0" w:line="240" w:lineRule="auto"/>
        <w:ind w:firstLine="709"/>
        <w:rPr>
          <w:rFonts w:ascii="Times New Roman" w:hAnsi="Times New Roman"/>
          <w:b/>
          <w:color w:val="000000" w:themeColor="text1"/>
          <w:sz w:val="20"/>
          <w:szCs w:val="20"/>
        </w:rPr>
      </w:pPr>
      <w:r w:rsidRPr="001D5091">
        <w:rPr>
          <w:rFonts w:ascii="Times New Roman" w:hAnsi="Times New Roman"/>
          <w:b/>
          <w:color w:val="000000" w:themeColor="text1"/>
          <w:sz w:val="20"/>
          <w:szCs w:val="20"/>
        </w:rPr>
        <w:t>Sorumluluk</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 xml:space="preserve">MADDE 13- </w:t>
      </w:r>
      <w:r w:rsidRPr="001D5091">
        <w:rPr>
          <w:rFonts w:ascii="Times New Roman" w:hAnsi="Times New Roman"/>
          <w:color w:val="000000" w:themeColor="text1"/>
          <w:sz w:val="20"/>
          <w:szCs w:val="20"/>
        </w:rPr>
        <w:t>(1) Bu Yönerge kapsamındaki personel hakkında, Personel Dairesi Başkanlığı bu Yönerge hükümlerine göre güvenlik soruşturması ve arşiv araştırması yapılmasından ve takibinden sorumludur.</w:t>
      </w:r>
    </w:p>
    <w:p w:rsidR="00A60884" w:rsidRDefault="00A60884" w:rsidP="00FD1CDF">
      <w:pPr>
        <w:spacing w:after="0" w:line="240" w:lineRule="auto"/>
        <w:ind w:firstLine="709"/>
        <w:rPr>
          <w:rFonts w:ascii="Times New Roman" w:hAnsi="Times New Roman"/>
          <w:b/>
          <w:color w:val="000000" w:themeColor="text1"/>
          <w:sz w:val="20"/>
          <w:szCs w:val="20"/>
        </w:rPr>
      </w:pPr>
    </w:p>
    <w:p w:rsidR="001D5091" w:rsidRPr="001D5091" w:rsidRDefault="001D5091" w:rsidP="00FD1CDF">
      <w:pPr>
        <w:spacing w:after="0" w:line="240" w:lineRule="auto"/>
        <w:ind w:firstLine="709"/>
        <w:rPr>
          <w:rFonts w:ascii="Times New Roman" w:hAnsi="Times New Roman"/>
          <w:b/>
          <w:color w:val="000000" w:themeColor="text1"/>
          <w:sz w:val="20"/>
          <w:szCs w:val="20"/>
        </w:rPr>
      </w:pPr>
      <w:r w:rsidRPr="001D5091">
        <w:rPr>
          <w:rFonts w:ascii="Times New Roman" w:hAnsi="Times New Roman"/>
          <w:b/>
          <w:color w:val="000000" w:themeColor="text1"/>
          <w:sz w:val="20"/>
          <w:szCs w:val="20"/>
        </w:rPr>
        <w:t>Değerlendirme</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proofErr w:type="gramStart"/>
      <w:r w:rsidRPr="001D5091">
        <w:rPr>
          <w:rFonts w:ascii="Times New Roman" w:hAnsi="Times New Roman"/>
          <w:b/>
          <w:color w:val="000000" w:themeColor="text1"/>
          <w:sz w:val="20"/>
          <w:szCs w:val="20"/>
        </w:rPr>
        <w:t xml:space="preserve">MADDE 14- </w:t>
      </w:r>
      <w:r w:rsidRPr="001D5091">
        <w:rPr>
          <w:rFonts w:ascii="Times New Roman" w:hAnsi="Times New Roman"/>
          <w:color w:val="000000" w:themeColor="text1"/>
          <w:sz w:val="20"/>
          <w:szCs w:val="20"/>
        </w:rPr>
        <w:t>(1) Yaptırılan güvenlik soruşturması ve arşiv araştırması sonucunda elde edilen verilerin değerlendirilmesi amacıyla gerektiğinde kişinin gizlilik dereceli birim, kısım ve gizlilik dereceli yerlerde çalıştırılıp çalıştırılmayacağı, yer değiştirilerek bu göreve devam edip etmeyeceği ile 657 sayılı Kanunun 48 inci maddesi kapsamında belirtilen şartları taşıyıp taşımadığı gibi hususları incelemek ve sonucunu sorumlu amirin takdirine sunmak üzere Rektör başkanlığında, güvenlikten sorumlu Rektör yardımcısı, Hukuk Müşaviri ve Personel Daire Başkanı’ndan oluşan Değerlendirme Komisyonu kurulur.</w:t>
      </w:r>
      <w:proofErr w:type="gramEnd"/>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(2) Değerlendirme Komisyonu üyelerinden birisi hakkında yapılacak değerlendirmeye o üye katılamaz.</w:t>
      </w:r>
    </w:p>
    <w:p w:rsidR="001D5091" w:rsidRPr="001D5091" w:rsidRDefault="001D5091" w:rsidP="001D5091">
      <w:pPr>
        <w:spacing w:after="120" w:line="240" w:lineRule="auto"/>
        <w:ind w:firstLine="709"/>
        <w:jc w:val="both"/>
        <w:rPr>
          <w:rFonts w:ascii="Times New Roman" w:hAnsi="Times New Roman"/>
          <w:color w:val="000000" w:themeColor="text1"/>
          <w:sz w:val="20"/>
          <w:szCs w:val="20"/>
        </w:rPr>
      </w:pPr>
      <w:r w:rsidRPr="001D5091">
        <w:rPr>
          <w:rFonts w:ascii="Times New Roman" w:hAnsi="Times New Roman"/>
          <w:color w:val="000000" w:themeColor="text1"/>
          <w:sz w:val="20"/>
          <w:szCs w:val="20"/>
        </w:rPr>
        <w:t>(3) Değerlendirme Komisyonunun çalışma tutanak ve kararları gizlidir.</w:t>
      </w:r>
    </w:p>
    <w:p w:rsidR="00A60884" w:rsidRDefault="00A60884" w:rsidP="00FD1CDF">
      <w:pPr>
        <w:spacing w:after="0" w:line="240" w:lineRule="auto"/>
        <w:ind w:firstLine="709"/>
        <w:jc w:val="both"/>
        <w:rPr>
          <w:rFonts w:ascii="Times New Roman" w:hAnsi="Times New Roman"/>
          <w:b/>
          <w:color w:val="000000" w:themeColor="text1"/>
          <w:sz w:val="20"/>
          <w:szCs w:val="20"/>
        </w:rPr>
      </w:pPr>
    </w:p>
    <w:p w:rsidR="001D5091" w:rsidRPr="001D5091" w:rsidRDefault="001D5091" w:rsidP="00FD1CDF">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Hüküm bulunmayan haller</w:t>
      </w:r>
    </w:p>
    <w:p w:rsidR="001D5091" w:rsidRPr="001D5091" w:rsidRDefault="001D5091" w:rsidP="00FD1CDF">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 xml:space="preserve">MADDE 15- </w:t>
      </w:r>
      <w:r w:rsidRPr="001D5091">
        <w:rPr>
          <w:rFonts w:ascii="Times New Roman" w:hAnsi="Times New Roman"/>
          <w:color w:val="000000" w:themeColor="text1"/>
          <w:sz w:val="20"/>
          <w:szCs w:val="20"/>
        </w:rPr>
        <w:t xml:space="preserve">(1) Bu Yönergede hüküm bulunmayan hallerde Yönetmelik ve ilgili mevzuat hükmü uygulanır. </w:t>
      </w:r>
    </w:p>
    <w:p w:rsidR="00A60884" w:rsidRDefault="00A60884" w:rsidP="00FD1CDF">
      <w:pPr>
        <w:spacing w:after="0" w:line="240" w:lineRule="auto"/>
        <w:ind w:firstLine="709"/>
        <w:jc w:val="both"/>
        <w:rPr>
          <w:rFonts w:ascii="Times New Roman" w:hAnsi="Times New Roman"/>
          <w:b/>
          <w:color w:val="000000" w:themeColor="text1"/>
          <w:sz w:val="20"/>
          <w:szCs w:val="20"/>
        </w:rPr>
      </w:pPr>
    </w:p>
    <w:p w:rsidR="001D5091" w:rsidRPr="001D5091" w:rsidRDefault="001D5091" w:rsidP="00FD1CDF">
      <w:pPr>
        <w:spacing w:after="0" w:line="240" w:lineRule="auto"/>
        <w:ind w:firstLine="709"/>
        <w:jc w:val="both"/>
        <w:rPr>
          <w:rFonts w:ascii="Times New Roman" w:hAnsi="Times New Roman"/>
          <w:b/>
          <w:color w:val="000000" w:themeColor="text1"/>
          <w:sz w:val="20"/>
          <w:szCs w:val="20"/>
        </w:rPr>
      </w:pPr>
      <w:r w:rsidRPr="001D5091">
        <w:rPr>
          <w:rFonts w:ascii="Times New Roman" w:hAnsi="Times New Roman"/>
          <w:b/>
          <w:color w:val="000000" w:themeColor="text1"/>
          <w:sz w:val="20"/>
          <w:szCs w:val="20"/>
        </w:rPr>
        <w:t>Yönergeden önceki işlemler</w:t>
      </w:r>
    </w:p>
    <w:p w:rsidR="001D5091" w:rsidRPr="001D5091" w:rsidRDefault="001D5091" w:rsidP="00FD1CDF">
      <w:pPr>
        <w:spacing w:after="0" w:line="240" w:lineRule="auto"/>
        <w:ind w:firstLine="709"/>
        <w:jc w:val="both"/>
        <w:rPr>
          <w:rFonts w:ascii="Times New Roman" w:hAnsi="Times New Roman"/>
          <w:color w:val="000000" w:themeColor="text1"/>
          <w:sz w:val="20"/>
          <w:szCs w:val="20"/>
        </w:rPr>
      </w:pPr>
      <w:r w:rsidRPr="001D5091">
        <w:rPr>
          <w:rFonts w:ascii="Times New Roman" w:hAnsi="Times New Roman"/>
          <w:b/>
          <w:color w:val="000000" w:themeColor="text1"/>
          <w:sz w:val="20"/>
          <w:szCs w:val="20"/>
        </w:rPr>
        <w:t>GEÇİCİ MADDE 1-</w:t>
      </w:r>
      <w:r w:rsidRPr="001D5091">
        <w:rPr>
          <w:rFonts w:ascii="Times New Roman" w:hAnsi="Times New Roman"/>
          <w:color w:val="000000" w:themeColor="text1"/>
          <w:sz w:val="20"/>
          <w:szCs w:val="20"/>
        </w:rPr>
        <w:t xml:space="preserve"> Bu Yönerge hükümlerine göre güvenlik soruşturması ve arşiv araştırması yapılacak olanlar hakkında daha önce yapılmış olan güvenlik soruşturması ve arşiv araştırması sonuçları geçerliliğini korur.</w:t>
      </w:r>
    </w:p>
    <w:p w:rsidR="00FD1CDF" w:rsidRDefault="00FD1CDF" w:rsidP="001D5091">
      <w:pPr>
        <w:spacing w:after="120" w:line="240" w:lineRule="auto"/>
        <w:ind w:firstLine="709"/>
        <w:rPr>
          <w:rFonts w:ascii="Times New Roman" w:hAnsi="Times New Roman"/>
          <w:b/>
          <w:color w:val="000000" w:themeColor="text1"/>
          <w:sz w:val="20"/>
          <w:szCs w:val="20"/>
        </w:rPr>
      </w:pPr>
    </w:p>
    <w:p w:rsidR="001D5091" w:rsidRPr="001D5091" w:rsidRDefault="001D5091" w:rsidP="00FD1CDF">
      <w:pPr>
        <w:spacing w:after="0" w:line="240" w:lineRule="auto"/>
        <w:ind w:firstLine="709"/>
        <w:rPr>
          <w:rFonts w:ascii="Times New Roman" w:hAnsi="Times New Roman"/>
          <w:b/>
          <w:color w:val="000000" w:themeColor="text1"/>
          <w:sz w:val="20"/>
          <w:szCs w:val="20"/>
        </w:rPr>
      </w:pPr>
      <w:r w:rsidRPr="001D5091">
        <w:rPr>
          <w:rFonts w:ascii="Times New Roman" w:hAnsi="Times New Roman"/>
          <w:b/>
          <w:color w:val="000000" w:themeColor="text1"/>
          <w:sz w:val="20"/>
          <w:szCs w:val="20"/>
        </w:rPr>
        <w:t>Yürürlük</w:t>
      </w:r>
    </w:p>
    <w:p w:rsidR="001D5091" w:rsidRPr="001D5091" w:rsidRDefault="001D5091" w:rsidP="00FD1CDF">
      <w:pPr>
        <w:spacing w:after="0" w:line="240" w:lineRule="auto"/>
        <w:ind w:firstLine="709"/>
        <w:rPr>
          <w:rFonts w:ascii="Times New Roman" w:hAnsi="Times New Roman"/>
          <w:color w:val="000000" w:themeColor="text1"/>
          <w:sz w:val="20"/>
          <w:szCs w:val="20"/>
        </w:rPr>
      </w:pPr>
      <w:r w:rsidRPr="001D5091">
        <w:rPr>
          <w:rFonts w:ascii="Times New Roman" w:hAnsi="Times New Roman"/>
          <w:b/>
          <w:color w:val="000000" w:themeColor="text1"/>
          <w:sz w:val="20"/>
          <w:szCs w:val="20"/>
        </w:rPr>
        <w:t>MADDE 16-</w:t>
      </w:r>
      <w:r w:rsidRPr="001D5091">
        <w:rPr>
          <w:rFonts w:ascii="Times New Roman" w:hAnsi="Times New Roman"/>
          <w:color w:val="000000" w:themeColor="text1"/>
          <w:sz w:val="20"/>
          <w:szCs w:val="20"/>
        </w:rPr>
        <w:t xml:space="preserve">(1) Bu Yönerge, Senato tarafından onaylandığı tarihte yürürlüğe girer. </w:t>
      </w:r>
    </w:p>
    <w:p w:rsidR="00FD1CDF" w:rsidRDefault="00FD1CDF" w:rsidP="001D5091">
      <w:pPr>
        <w:spacing w:after="120" w:line="240" w:lineRule="auto"/>
        <w:ind w:firstLine="709"/>
        <w:rPr>
          <w:rFonts w:ascii="Times New Roman" w:hAnsi="Times New Roman"/>
          <w:b/>
          <w:color w:val="000000" w:themeColor="text1"/>
          <w:sz w:val="20"/>
          <w:szCs w:val="20"/>
        </w:rPr>
      </w:pPr>
    </w:p>
    <w:p w:rsidR="001D5091" w:rsidRPr="001D5091" w:rsidRDefault="001D5091" w:rsidP="00FD1CDF">
      <w:pPr>
        <w:spacing w:after="0" w:line="240" w:lineRule="auto"/>
        <w:ind w:firstLine="709"/>
        <w:rPr>
          <w:rFonts w:ascii="Times New Roman" w:hAnsi="Times New Roman"/>
          <w:b/>
          <w:color w:val="000000" w:themeColor="text1"/>
          <w:sz w:val="20"/>
          <w:szCs w:val="20"/>
        </w:rPr>
      </w:pPr>
      <w:r w:rsidRPr="001D5091">
        <w:rPr>
          <w:rFonts w:ascii="Times New Roman" w:hAnsi="Times New Roman"/>
          <w:b/>
          <w:color w:val="000000" w:themeColor="text1"/>
          <w:sz w:val="20"/>
          <w:szCs w:val="20"/>
        </w:rPr>
        <w:t>Yürütme</w:t>
      </w:r>
    </w:p>
    <w:p w:rsidR="001D5091" w:rsidRPr="001D5091" w:rsidRDefault="001D5091" w:rsidP="00FD1CDF">
      <w:pPr>
        <w:spacing w:after="0" w:line="240" w:lineRule="auto"/>
        <w:ind w:firstLine="709"/>
        <w:rPr>
          <w:rFonts w:ascii="Times New Roman" w:hAnsi="Times New Roman"/>
          <w:color w:val="000000" w:themeColor="text1"/>
          <w:sz w:val="20"/>
          <w:szCs w:val="20"/>
        </w:rPr>
      </w:pPr>
      <w:r w:rsidRPr="001D5091">
        <w:rPr>
          <w:rFonts w:ascii="Times New Roman" w:hAnsi="Times New Roman"/>
          <w:b/>
          <w:color w:val="000000" w:themeColor="text1"/>
          <w:sz w:val="20"/>
          <w:szCs w:val="20"/>
        </w:rPr>
        <w:t>MADDE 17-(</w:t>
      </w:r>
      <w:r w:rsidRPr="001D5091">
        <w:rPr>
          <w:rFonts w:ascii="Times New Roman" w:hAnsi="Times New Roman"/>
          <w:color w:val="000000" w:themeColor="text1"/>
          <w:sz w:val="20"/>
          <w:szCs w:val="20"/>
        </w:rPr>
        <w:t>1) Bu Yönerge hükümlerini Rektör yürütür.</w:t>
      </w:r>
    </w:p>
    <w:p w:rsidR="00FD1CDF" w:rsidRDefault="00FD1CDF" w:rsidP="001D5091">
      <w:pPr>
        <w:spacing w:after="0" w:line="240" w:lineRule="auto"/>
        <w:rPr>
          <w:rFonts w:ascii="Times New Roman" w:hAnsi="Times New Roman"/>
          <w:b/>
          <w:sz w:val="20"/>
          <w:szCs w:val="20"/>
        </w:rPr>
      </w:pPr>
    </w:p>
    <w:p w:rsidR="001D5091" w:rsidRPr="001D5091" w:rsidRDefault="001D5091" w:rsidP="001D5091">
      <w:pPr>
        <w:spacing w:after="0" w:line="240" w:lineRule="auto"/>
        <w:rPr>
          <w:rFonts w:ascii="Times New Roman" w:hAnsi="Times New Roman"/>
          <w:b/>
          <w:sz w:val="20"/>
          <w:szCs w:val="20"/>
        </w:rPr>
      </w:pPr>
      <w:r w:rsidRPr="001D5091">
        <w:rPr>
          <w:rFonts w:ascii="Times New Roman" w:hAnsi="Times New Roman"/>
          <w:b/>
          <w:sz w:val="20"/>
          <w:szCs w:val="20"/>
        </w:rPr>
        <w:lastRenderedPageBreak/>
        <w:t>EK: Gizlilik Dereceli Birimler Ve Kısımlar İle Bunların Gizlilik Dereceleri Tablosu</w:t>
      </w:r>
    </w:p>
    <w:tbl>
      <w:tblPr>
        <w:tblStyle w:val="TabloKlavuzu1"/>
        <w:tblW w:w="0" w:type="auto"/>
        <w:tblLook w:val="04A0" w:firstRow="1" w:lastRow="0" w:firstColumn="1" w:lastColumn="0" w:noHBand="0" w:noVBand="1"/>
      </w:tblPr>
      <w:tblGrid>
        <w:gridCol w:w="6658"/>
        <w:gridCol w:w="2404"/>
      </w:tblGrid>
      <w:tr w:rsidR="001D5091" w:rsidRPr="001D5091" w:rsidTr="00835B4D">
        <w:tc>
          <w:tcPr>
            <w:tcW w:w="6658" w:type="dxa"/>
            <w:vAlign w:val="center"/>
          </w:tcPr>
          <w:p w:rsidR="001D5091" w:rsidRPr="001D5091" w:rsidRDefault="001D5091" w:rsidP="00835B4D">
            <w:pPr>
              <w:rPr>
                <w:rFonts w:ascii="Times New Roman" w:hAnsi="Times New Roman"/>
                <w:b/>
                <w:sz w:val="20"/>
                <w:szCs w:val="20"/>
              </w:rPr>
            </w:pPr>
            <w:r w:rsidRPr="001D5091">
              <w:rPr>
                <w:rFonts w:ascii="Times New Roman" w:hAnsi="Times New Roman"/>
                <w:b/>
                <w:sz w:val="20"/>
                <w:szCs w:val="20"/>
              </w:rPr>
              <w:t>Birim/Kısım</w:t>
            </w:r>
          </w:p>
        </w:tc>
        <w:tc>
          <w:tcPr>
            <w:tcW w:w="2404" w:type="dxa"/>
            <w:vAlign w:val="center"/>
          </w:tcPr>
          <w:p w:rsidR="001D5091" w:rsidRPr="001D5091" w:rsidRDefault="001D5091" w:rsidP="00835B4D">
            <w:pPr>
              <w:rPr>
                <w:rFonts w:ascii="Times New Roman" w:hAnsi="Times New Roman"/>
                <w:b/>
                <w:sz w:val="20"/>
                <w:szCs w:val="20"/>
              </w:rPr>
            </w:pPr>
            <w:r w:rsidRPr="001D5091">
              <w:rPr>
                <w:rFonts w:ascii="Times New Roman" w:hAnsi="Times New Roman"/>
                <w:b/>
                <w:sz w:val="20"/>
                <w:szCs w:val="20"/>
              </w:rPr>
              <w:t>Gizlilik Derecesi</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Rektörlük Makamı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3"/>
              </w:numPr>
              <w:contextualSpacing/>
              <w:rPr>
                <w:rFonts w:ascii="Times New Roman" w:hAnsi="Times New Roman"/>
                <w:sz w:val="20"/>
                <w:szCs w:val="20"/>
              </w:rPr>
            </w:pPr>
            <w:r w:rsidRPr="001D5091">
              <w:rPr>
                <w:rFonts w:ascii="Times New Roman" w:hAnsi="Times New Roman"/>
                <w:sz w:val="20"/>
                <w:szCs w:val="20"/>
              </w:rPr>
              <w:t>Özel Kalem (</w:t>
            </w:r>
            <w:proofErr w:type="spellStart"/>
            <w:r w:rsidRPr="001D5091">
              <w:rPr>
                <w:rFonts w:ascii="Times New Roman" w:hAnsi="Times New Roman"/>
                <w:sz w:val="20"/>
                <w:szCs w:val="20"/>
              </w:rPr>
              <w:t>Sekreterya</w:t>
            </w:r>
            <w:proofErr w:type="spellEnd"/>
            <w:r w:rsidRPr="001D5091">
              <w:rPr>
                <w:rFonts w:ascii="Times New Roman" w:hAnsi="Times New Roman"/>
                <w:sz w:val="20"/>
                <w:szCs w:val="20"/>
              </w:rPr>
              <w:t>)</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Genel Sekreterlik</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Personel Daire Başkanlığı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2"/>
              </w:numPr>
              <w:contextualSpacing/>
              <w:rPr>
                <w:rFonts w:ascii="Times New Roman" w:hAnsi="Times New Roman"/>
                <w:sz w:val="20"/>
                <w:szCs w:val="20"/>
              </w:rPr>
            </w:pPr>
            <w:r w:rsidRPr="001D5091">
              <w:rPr>
                <w:rFonts w:ascii="Times New Roman" w:hAnsi="Times New Roman"/>
                <w:sz w:val="20"/>
                <w:szCs w:val="20"/>
              </w:rPr>
              <w:t>Sicil, Disiplin ve Atama Bürosu</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2"/>
              </w:numPr>
              <w:contextualSpacing/>
              <w:rPr>
                <w:rFonts w:ascii="Times New Roman" w:hAnsi="Times New Roman"/>
                <w:sz w:val="20"/>
                <w:szCs w:val="20"/>
              </w:rPr>
            </w:pPr>
            <w:r w:rsidRPr="001D5091">
              <w:rPr>
                <w:rFonts w:ascii="Times New Roman" w:hAnsi="Times New Roman"/>
                <w:sz w:val="20"/>
                <w:szCs w:val="20"/>
              </w:rPr>
              <w:t>Personel Daire Başkanlığı Diğer Kısımlar</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Öğrenci İşleri Daire Başkanlığı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4"/>
              </w:numPr>
              <w:contextualSpacing/>
              <w:rPr>
                <w:rFonts w:ascii="Times New Roman" w:hAnsi="Times New Roman"/>
                <w:sz w:val="20"/>
                <w:szCs w:val="20"/>
              </w:rPr>
            </w:pPr>
            <w:r w:rsidRPr="001D5091">
              <w:rPr>
                <w:rFonts w:ascii="Times New Roman" w:hAnsi="Times New Roman"/>
                <w:sz w:val="20"/>
                <w:szCs w:val="20"/>
              </w:rPr>
              <w:t>Not Bürosu</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İdari ve Mali İşler Daire Başkanlığı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5"/>
              </w:numPr>
              <w:contextualSpacing/>
              <w:rPr>
                <w:rFonts w:ascii="Times New Roman" w:hAnsi="Times New Roman"/>
                <w:sz w:val="20"/>
                <w:szCs w:val="20"/>
              </w:rPr>
            </w:pPr>
            <w:r w:rsidRPr="001D5091">
              <w:rPr>
                <w:rFonts w:ascii="Times New Roman" w:hAnsi="Times New Roman"/>
                <w:sz w:val="20"/>
                <w:szCs w:val="20"/>
              </w:rPr>
              <w:t>Satın Alma Bürosu</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Sağlık Kültür ve Spor Daire Başkanlığı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6"/>
              </w:numPr>
              <w:contextualSpacing/>
              <w:rPr>
                <w:rFonts w:ascii="Times New Roman" w:hAnsi="Times New Roman"/>
                <w:sz w:val="20"/>
                <w:szCs w:val="20"/>
              </w:rPr>
            </w:pPr>
            <w:r w:rsidRPr="001D5091">
              <w:rPr>
                <w:rFonts w:ascii="Times New Roman" w:hAnsi="Times New Roman"/>
                <w:sz w:val="20"/>
                <w:szCs w:val="20"/>
              </w:rPr>
              <w:t>Satın Alma Bürosu</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Strateji Geliştirme Daire Başkanlığı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7"/>
              </w:numPr>
              <w:contextualSpacing/>
              <w:rPr>
                <w:rFonts w:ascii="Times New Roman" w:hAnsi="Times New Roman"/>
                <w:sz w:val="20"/>
                <w:szCs w:val="20"/>
              </w:rPr>
            </w:pPr>
            <w:r w:rsidRPr="001D5091">
              <w:rPr>
                <w:rFonts w:ascii="Times New Roman" w:hAnsi="Times New Roman"/>
                <w:sz w:val="20"/>
                <w:szCs w:val="20"/>
              </w:rPr>
              <w:t>Ön Mali Kontrol ve Projeler Servisi</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7"/>
              </w:numPr>
              <w:contextualSpacing/>
              <w:rPr>
                <w:rFonts w:ascii="Times New Roman" w:hAnsi="Times New Roman"/>
                <w:sz w:val="20"/>
                <w:szCs w:val="20"/>
              </w:rPr>
            </w:pPr>
            <w:r w:rsidRPr="001D5091">
              <w:rPr>
                <w:rFonts w:ascii="Times New Roman" w:hAnsi="Times New Roman"/>
                <w:sz w:val="20"/>
                <w:szCs w:val="20"/>
              </w:rPr>
              <w:t>Muhasebe Kesin Hesap Raporlama Birimi</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Yapı İşleri ve Teknik Daire Başkanlığı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8"/>
              </w:numPr>
              <w:contextualSpacing/>
              <w:rPr>
                <w:rFonts w:ascii="Times New Roman" w:hAnsi="Times New Roman"/>
                <w:sz w:val="20"/>
                <w:szCs w:val="20"/>
              </w:rPr>
            </w:pPr>
            <w:r w:rsidRPr="001D5091">
              <w:rPr>
                <w:rFonts w:ascii="Times New Roman" w:hAnsi="Times New Roman"/>
                <w:sz w:val="20"/>
                <w:szCs w:val="20"/>
              </w:rPr>
              <w:t>İhale Bürosu</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8"/>
              </w:numPr>
              <w:contextualSpacing/>
              <w:rPr>
                <w:rFonts w:ascii="Times New Roman" w:hAnsi="Times New Roman"/>
                <w:sz w:val="20"/>
                <w:szCs w:val="20"/>
              </w:rPr>
            </w:pPr>
            <w:r w:rsidRPr="001D5091">
              <w:rPr>
                <w:rFonts w:ascii="Times New Roman" w:hAnsi="Times New Roman"/>
                <w:sz w:val="20"/>
                <w:szCs w:val="20"/>
              </w:rPr>
              <w:t>Arşiv Bürosu</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Bilgi İşlem Daire Başkanlığı</w:t>
            </w:r>
          </w:p>
        </w:tc>
        <w:tc>
          <w:tcPr>
            <w:tcW w:w="2404" w:type="dxa"/>
            <w:vAlign w:val="center"/>
          </w:tcPr>
          <w:p w:rsidR="001D5091" w:rsidRPr="001D5091" w:rsidRDefault="001D5091" w:rsidP="00835B4D">
            <w:pPr>
              <w:rPr>
                <w:rFonts w:ascii="Times New Roman" w:hAnsi="Times New Roman"/>
                <w:sz w:val="20"/>
                <w:szCs w:val="20"/>
              </w:rPr>
            </w:pPr>
          </w:p>
        </w:tc>
      </w:tr>
      <w:tr w:rsidR="001D5091" w:rsidRPr="001D5091" w:rsidTr="00835B4D">
        <w:tc>
          <w:tcPr>
            <w:tcW w:w="6658" w:type="dxa"/>
            <w:vAlign w:val="center"/>
          </w:tcPr>
          <w:p w:rsidR="001D5091" w:rsidRPr="001D5091" w:rsidRDefault="001D5091" w:rsidP="001D5091">
            <w:pPr>
              <w:numPr>
                <w:ilvl w:val="0"/>
                <w:numId w:val="9"/>
              </w:numPr>
              <w:contextualSpacing/>
              <w:rPr>
                <w:rFonts w:ascii="Times New Roman" w:hAnsi="Times New Roman"/>
                <w:sz w:val="20"/>
                <w:szCs w:val="20"/>
              </w:rPr>
            </w:pPr>
            <w:r w:rsidRPr="001D5091">
              <w:rPr>
                <w:rFonts w:ascii="Times New Roman" w:hAnsi="Times New Roman"/>
                <w:sz w:val="20"/>
                <w:szCs w:val="20"/>
              </w:rPr>
              <w:t>Sistem Odası</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Hukuk Müşavirliği</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r w:rsidR="001D5091" w:rsidRPr="001D5091" w:rsidTr="00835B4D">
        <w:tc>
          <w:tcPr>
            <w:tcW w:w="6658" w:type="dxa"/>
            <w:vAlign w:val="center"/>
          </w:tcPr>
          <w:p w:rsidR="001D5091" w:rsidRPr="001D5091" w:rsidRDefault="001D5091" w:rsidP="001D5091">
            <w:pPr>
              <w:numPr>
                <w:ilvl w:val="0"/>
                <w:numId w:val="1"/>
              </w:numPr>
              <w:contextualSpacing/>
              <w:rPr>
                <w:rFonts w:ascii="Times New Roman" w:hAnsi="Times New Roman"/>
                <w:sz w:val="20"/>
                <w:szCs w:val="20"/>
              </w:rPr>
            </w:pPr>
            <w:r w:rsidRPr="001D5091">
              <w:rPr>
                <w:rFonts w:ascii="Times New Roman" w:hAnsi="Times New Roman"/>
                <w:sz w:val="20"/>
                <w:szCs w:val="20"/>
              </w:rPr>
              <w:t>Üniversite Birimlerine Bağlı Evrak Servisleri</w:t>
            </w:r>
          </w:p>
        </w:tc>
        <w:tc>
          <w:tcPr>
            <w:tcW w:w="2404" w:type="dxa"/>
            <w:vAlign w:val="center"/>
          </w:tcPr>
          <w:p w:rsidR="001D5091" w:rsidRPr="001D5091" w:rsidRDefault="001D5091" w:rsidP="00835B4D">
            <w:pPr>
              <w:rPr>
                <w:rFonts w:ascii="Times New Roman" w:hAnsi="Times New Roman"/>
                <w:sz w:val="20"/>
                <w:szCs w:val="20"/>
              </w:rPr>
            </w:pPr>
            <w:r w:rsidRPr="001D5091">
              <w:rPr>
                <w:rFonts w:ascii="Times New Roman" w:hAnsi="Times New Roman"/>
                <w:sz w:val="20"/>
                <w:szCs w:val="20"/>
              </w:rPr>
              <w:t>Hizmete Özel</w:t>
            </w:r>
          </w:p>
        </w:tc>
      </w:tr>
    </w:tbl>
    <w:p w:rsidR="001D5091" w:rsidRPr="001D5091" w:rsidRDefault="001D5091" w:rsidP="001D5091">
      <w:pPr>
        <w:spacing w:after="0" w:line="240" w:lineRule="auto"/>
        <w:ind w:firstLine="708"/>
        <w:jc w:val="both"/>
        <w:rPr>
          <w:rFonts w:ascii="Times New Roman" w:eastAsia="Times New Roman" w:hAnsi="Times New Roman" w:cs="Times New Roman"/>
          <w:bCs/>
          <w:sz w:val="20"/>
          <w:szCs w:val="20"/>
          <w:lang w:eastAsia="tr-TR"/>
        </w:rPr>
      </w:pPr>
    </w:p>
    <w:sectPr w:rsidR="001D5091" w:rsidRPr="001D5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CB5"/>
    <w:multiLevelType w:val="hybridMultilevel"/>
    <w:tmpl w:val="00EA8DBA"/>
    <w:lvl w:ilvl="0" w:tplc="BC7A46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16F5"/>
    <w:multiLevelType w:val="hybridMultilevel"/>
    <w:tmpl w:val="20AE24FA"/>
    <w:lvl w:ilvl="0" w:tplc="146E2A7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2D91F58"/>
    <w:multiLevelType w:val="hybridMultilevel"/>
    <w:tmpl w:val="B936CBEC"/>
    <w:lvl w:ilvl="0" w:tplc="BD8E611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D6A7221"/>
    <w:multiLevelType w:val="hybridMultilevel"/>
    <w:tmpl w:val="38A8D5D2"/>
    <w:lvl w:ilvl="0" w:tplc="87A8DA1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E8C7E91"/>
    <w:multiLevelType w:val="hybridMultilevel"/>
    <w:tmpl w:val="67743EAE"/>
    <w:lvl w:ilvl="0" w:tplc="F5BAA69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5166994"/>
    <w:multiLevelType w:val="hybridMultilevel"/>
    <w:tmpl w:val="620CF54E"/>
    <w:lvl w:ilvl="0" w:tplc="783E759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F07159"/>
    <w:multiLevelType w:val="hybridMultilevel"/>
    <w:tmpl w:val="F41EE906"/>
    <w:lvl w:ilvl="0" w:tplc="293C565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3775E96"/>
    <w:multiLevelType w:val="hybridMultilevel"/>
    <w:tmpl w:val="A1D2749E"/>
    <w:lvl w:ilvl="0" w:tplc="662AC74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C0B74B2"/>
    <w:multiLevelType w:val="hybridMultilevel"/>
    <w:tmpl w:val="486EF450"/>
    <w:lvl w:ilvl="0" w:tplc="308CE4A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7"/>
  </w:num>
  <w:num w:numId="5">
    <w:abstractNumId w:val="3"/>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56"/>
    <w:rsid w:val="001D5091"/>
    <w:rsid w:val="00A60884"/>
    <w:rsid w:val="00C209B4"/>
    <w:rsid w:val="00FD1CDF"/>
    <w:rsid w:val="00FD4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1D50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D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1D50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D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1639</Words>
  <Characters>9346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4</cp:revision>
  <dcterms:created xsi:type="dcterms:W3CDTF">2019-03-13T07:50:00Z</dcterms:created>
  <dcterms:modified xsi:type="dcterms:W3CDTF">2019-03-13T08:17:00Z</dcterms:modified>
</cp:coreProperties>
</file>