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A4" w:rsidRPr="00143316" w:rsidRDefault="005443A4" w:rsidP="005443A4">
      <w:pPr>
        <w:ind w:left="360" w:right="46" w:hanging="360"/>
        <w:jc w:val="both"/>
        <w:rPr>
          <w:b/>
          <w:sz w:val="20"/>
          <w:szCs w:val="20"/>
        </w:rPr>
      </w:pPr>
      <w:r w:rsidRPr="00143316">
        <w:rPr>
          <w:b/>
          <w:sz w:val="20"/>
          <w:szCs w:val="20"/>
        </w:rPr>
        <w:t>Senato Tarihi</w:t>
      </w:r>
      <w:r w:rsidRPr="00143316">
        <w:rPr>
          <w:b/>
          <w:sz w:val="20"/>
          <w:szCs w:val="20"/>
        </w:rPr>
        <w:tab/>
      </w:r>
      <w:r w:rsidRPr="00143316">
        <w:rPr>
          <w:b/>
          <w:sz w:val="20"/>
          <w:szCs w:val="20"/>
        </w:rPr>
        <w:tab/>
        <w:t xml:space="preserve">: </w:t>
      </w:r>
      <w:proofErr w:type="gramStart"/>
      <w:r w:rsidRPr="00143316">
        <w:rPr>
          <w:b/>
          <w:sz w:val="20"/>
          <w:szCs w:val="20"/>
        </w:rPr>
        <w:t>24/08/2016</w:t>
      </w:r>
      <w:proofErr w:type="gramEnd"/>
    </w:p>
    <w:p w:rsidR="005443A4" w:rsidRPr="00143316" w:rsidRDefault="005443A4" w:rsidP="005443A4">
      <w:pPr>
        <w:ind w:right="46"/>
        <w:jc w:val="both"/>
        <w:rPr>
          <w:b/>
          <w:sz w:val="20"/>
          <w:szCs w:val="20"/>
        </w:rPr>
      </w:pPr>
      <w:r w:rsidRPr="00143316">
        <w:rPr>
          <w:b/>
          <w:sz w:val="20"/>
          <w:szCs w:val="20"/>
        </w:rPr>
        <w:t>Karar No</w:t>
      </w:r>
      <w:r w:rsidRPr="00143316">
        <w:rPr>
          <w:b/>
          <w:sz w:val="20"/>
          <w:szCs w:val="20"/>
        </w:rPr>
        <w:tab/>
      </w:r>
      <w:r w:rsidRPr="00143316">
        <w:rPr>
          <w:b/>
          <w:sz w:val="20"/>
          <w:szCs w:val="20"/>
        </w:rPr>
        <w:tab/>
        <w:t xml:space="preserve">: </w:t>
      </w:r>
      <w:r w:rsidR="00143316" w:rsidRPr="00143316">
        <w:rPr>
          <w:b/>
          <w:sz w:val="20"/>
          <w:szCs w:val="20"/>
        </w:rPr>
        <w:t>09/</w:t>
      </w:r>
      <w:r w:rsidR="00143316">
        <w:rPr>
          <w:b/>
          <w:sz w:val="20"/>
          <w:szCs w:val="20"/>
        </w:rPr>
        <w:t>9</w:t>
      </w:r>
    </w:p>
    <w:p w:rsidR="009A26EA" w:rsidRDefault="009A26EA" w:rsidP="005841E9">
      <w:pPr>
        <w:pStyle w:val="Default"/>
        <w:jc w:val="center"/>
        <w:rPr>
          <w:b/>
          <w:bCs/>
          <w:sz w:val="20"/>
          <w:szCs w:val="20"/>
        </w:rPr>
      </w:pPr>
      <w:bookmarkStart w:id="0" w:name="_GoBack"/>
      <w:bookmarkEnd w:id="0"/>
    </w:p>
    <w:p w:rsidR="009A26EA" w:rsidRDefault="009A26EA" w:rsidP="005841E9">
      <w:pPr>
        <w:pStyle w:val="Default"/>
        <w:jc w:val="center"/>
        <w:rPr>
          <w:b/>
          <w:bCs/>
          <w:sz w:val="20"/>
          <w:szCs w:val="20"/>
        </w:rPr>
      </w:pPr>
    </w:p>
    <w:p w:rsidR="00DF24EE" w:rsidRPr="00143316" w:rsidRDefault="00DF24EE" w:rsidP="005841E9">
      <w:pPr>
        <w:pStyle w:val="Default"/>
        <w:jc w:val="center"/>
        <w:rPr>
          <w:sz w:val="20"/>
          <w:szCs w:val="20"/>
        </w:rPr>
      </w:pPr>
      <w:r w:rsidRPr="00143316">
        <w:rPr>
          <w:b/>
          <w:bCs/>
          <w:sz w:val="20"/>
          <w:szCs w:val="20"/>
        </w:rPr>
        <w:t>KIRIKKALE ÜNİVERSİTESİ</w:t>
      </w:r>
    </w:p>
    <w:p w:rsidR="00DF24EE" w:rsidRPr="00143316" w:rsidRDefault="00DF24EE" w:rsidP="005841E9">
      <w:pPr>
        <w:pStyle w:val="Default"/>
        <w:jc w:val="center"/>
        <w:rPr>
          <w:sz w:val="20"/>
          <w:szCs w:val="20"/>
        </w:rPr>
      </w:pPr>
      <w:r w:rsidRPr="00143316">
        <w:rPr>
          <w:b/>
          <w:bCs/>
          <w:sz w:val="20"/>
          <w:szCs w:val="20"/>
        </w:rPr>
        <w:t>MUAFİYET VE İNTİBAK İŞLEMLERİ YÖNERGESİ</w:t>
      </w:r>
    </w:p>
    <w:p w:rsidR="00DF24EE" w:rsidRPr="00143316" w:rsidRDefault="00DF24EE" w:rsidP="00DF24EE">
      <w:pPr>
        <w:pStyle w:val="Default"/>
        <w:jc w:val="both"/>
        <w:rPr>
          <w:sz w:val="20"/>
          <w:szCs w:val="20"/>
        </w:rPr>
      </w:pPr>
      <w:r w:rsidRPr="00143316">
        <w:rPr>
          <w:b/>
          <w:bCs/>
          <w:sz w:val="20"/>
          <w:szCs w:val="20"/>
        </w:rPr>
        <w:t>Amaç</w:t>
      </w:r>
    </w:p>
    <w:p w:rsidR="00DF24EE" w:rsidRPr="00143316" w:rsidRDefault="00DF24EE" w:rsidP="00DF24EE">
      <w:pPr>
        <w:pStyle w:val="Default"/>
        <w:jc w:val="both"/>
        <w:rPr>
          <w:sz w:val="20"/>
          <w:szCs w:val="20"/>
        </w:rPr>
      </w:pPr>
      <w:r w:rsidRPr="00143316">
        <w:rPr>
          <w:b/>
          <w:bCs/>
          <w:sz w:val="20"/>
          <w:szCs w:val="20"/>
        </w:rPr>
        <w:t>MADDE 1</w:t>
      </w:r>
      <w:r w:rsidRPr="00143316">
        <w:rPr>
          <w:sz w:val="20"/>
          <w:szCs w:val="20"/>
        </w:rPr>
        <w:t>- Bu Yönergenin amacı, Kırıkkale Üniversitesi'ne yeni kayıt yaptıran öğrencilerin daha önce Kırıkkale Üniversitesi dâhil olmak üzere herhangi bir Yükseköğretim Kurumundan alarak başarılı oldukları derslerin muafiyet ve yarıyıl/yıl intibak esasları ile muafiyet sınavı yapılacak derslerle ilgili esasları belirlemektir.</w:t>
      </w:r>
    </w:p>
    <w:p w:rsidR="00DF24EE" w:rsidRPr="00143316" w:rsidRDefault="00DF24EE" w:rsidP="00DF24EE">
      <w:pPr>
        <w:pStyle w:val="Default"/>
        <w:jc w:val="both"/>
        <w:rPr>
          <w:sz w:val="20"/>
          <w:szCs w:val="20"/>
        </w:rPr>
      </w:pPr>
      <w:r w:rsidRPr="00143316">
        <w:rPr>
          <w:b/>
          <w:bCs/>
          <w:sz w:val="20"/>
          <w:szCs w:val="20"/>
        </w:rPr>
        <w:t>Kapsam</w:t>
      </w:r>
    </w:p>
    <w:p w:rsidR="00DF24EE" w:rsidRPr="00143316" w:rsidRDefault="00DF24EE" w:rsidP="00DF24EE">
      <w:pPr>
        <w:pStyle w:val="Default"/>
        <w:jc w:val="both"/>
        <w:rPr>
          <w:sz w:val="20"/>
          <w:szCs w:val="20"/>
        </w:rPr>
      </w:pPr>
      <w:proofErr w:type="gramStart"/>
      <w:r w:rsidRPr="00143316">
        <w:rPr>
          <w:b/>
          <w:bCs/>
          <w:sz w:val="20"/>
          <w:szCs w:val="20"/>
        </w:rPr>
        <w:t xml:space="preserve">MADDE 2 - </w:t>
      </w:r>
      <w:r w:rsidRPr="00143316">
        <w:rPr>
          <w:sz w:val="20"/>
          <w:szCs w:val="20"/>
        </w:rPr>
        <w:t>Bu yönerge, yatay/dikey geçiş yapmak suretiyle veya af kanunundan yararlanarak öğrenimlerine devam etmek isteyen öğrenciler ile daha önceden bir Yükseköğretim Kurumunda öğrenci iken herhangi bir nedenle ilişiği kesilen fakat Kırıkkale Üniversitesi'ne yeniden kayıt yaptırmaya hak kazanan öğrencilerin daha önce alarak başarılı oldukları derslerden</w:t>
      </w:r>
      <w:r w:rsidR="00441AF6" w:rsidRPr="00143316">
        <w:rPr>
          <w:sz w:val="20"/>
          <w:szCs w:val="20"/>
        </w:rPr>
        <w:t xml:space="preserve"> muafiyetleri ve</w:t>
      </w:r>
      <w:r w:rsidRPr="00143316">
        <w:rPr>
          <w:sz w:val="20"/>
          <w:szCs w:val="20"/>
        </w:rPr>
        <w:t xml:space="preserve"> intibaklarıyla ilgili işlemleri ve muafiyet sınavı yapılacak derslerle ilgili işlemleri kapsar.</w:t>
      </w:r>
      <w:proofErr w:type="gramEnd"/>
    </w:p>
    <w:p w:rsidR="00DF24EE" w:rsidRPr="00143316" w:rsidRDefault="00DF24EE" w:rsidP="00DF24EE">
      <w:pPr>
        <w:pStyle w:val="Default"/>
        <w:jc w:val="both"/>
        <w:rPr>
          <w:sz w:val="20"/>
          <w:szCs w:val="20"/>
        </w:rPr>
      </w:pPr>
      <w:r w:rsidRPr="00143316">
        <w:rPr>
          <w:b/>
          <w:bCs/>
          <w:sz w:val="20"/>
          <w:szCs w:val="20"/>
        </w:rPr>
        <w:t>Dayanak</w:t>
      </w:r>
    </w:p>
    <w:p w:rsidR="00DF24EE" w:rsidRPr="00143316" w:rsidRDefault="00DF24EE" w:rsidP="00DF24EE">
      <w:pPr>
        <w:pStyle w:val="Default"/>
        <w:jc w:val="both"/>
        <w:rPr>
          <w:sz w:val="20"/>
          <w:szCs w:val="20"/>
        </w:rPr>
      </w:pPr>
      <w:r w:rsidRPr="00143316">
        <w:rPr>
          <w:b/>
          <w:bCs/>
          <w:sz w:val="20"/>
          <w:szCs w:val="20"/>
        </w:rPr>
        <w:t>MADDE 3</w:t>
      </w:r>
      <w:r w:rsidRPr="00143316">
        <w:rPr>
          <w:sz w:val="20"/>
          <w:szCs w:val="20"/>
        </w:rPr>
        <w:t xml:space="preserve">- Bu yönerge 2547 Sayılı Yükseköğretim Kanunu, Kırıkkale Üniversitesi </w:t>
      </w:r>
      <w:proofErr w:type="spellStart"/>
      <w:r w:rsidRPr="00143316">
        <w:rPr>
          <w:sz w:val="20"/>
          <w:szCs w:val="20"/>
        </w:rPr>
        <w:t>Önlisans</w:t>
      </w:r>
      <w:proofErr w:type="spellEnd"/>
      <w:r w:rsidRPr="00143316">
        <w:rPr>
          <w:sz w:val="20"/>
          <w:szCs w:val="20"/>
        </w:rPr>
        <w:t xml:space="preserve"> ve Lisans Eğitim-Öğretim ve Sınav Yönetmeliği ile Kırıkkale Üniversitesi Lisansüstü Eğitim-Öğretim ve Sınav Yönetmeliği hükümlerine dayanılarak hazırlanmıştır.</w:t>
      </w:r>
    </w:p>
    <w:p w:rsidR="00DF24EE" w:rsidRPr="00143316" w:rsidRDefault="00DF24EE" w:rsidP="00DF24EE">
      <w:pPr>
        <w:pStyle w:val="Default"/>
        <w:jc w:val="both"/>
        <w:rPr>
          <w:sz w:val="20"/>
          <w:szCs w:val="20"/>
        </w:rPr>
      </w:pPr>
      <w:r w:rsidRPr="00143316">
        <w:rPr>
          <w:b/>
          <w:bCs/>
          <w:sz w:val="20"/>
          <w:szCs w:val="20"/>
        </w:rPr>
        <w:t>Tanımlar</w:t>
      </w:r>
    </w:p>
    <w:p w:rsidR="00DF24EE" w:rsidRPr="00143316" w:rsidRDefault="00DF24EE" w:rsidP="00DF24EE">
      <w:pPr>
        <w:pStyle w:val="Default"/>
        <w:jc w:val="both"/>
        <w:rPr>
          <w:sz w:val="20"/>
          <w:szCs w:val="20"/>
        </w:rPr>
      </w:pPr>
      <w:r w:rsidRPr="00143316">
        <w:rPr>
          <w:b/>
          <w:bCs/>
          <w:sz w:val="20"/>
          <w:szCs w:val="20"/>
        </w:rPr>
        <w:t xml:space="preserve">MADDE 4- </w:t>
      </w:r>
      <w:r w:rsidRPr="00143316">
        <w:rPr>
          <w:sz w:val="20"/>
          <w:szCs w:val="20"/>
        </w:rPr>
        <w:t>(1) Bu Yönergede geçen;</w:t>
      </w:r>
    </w:p>
    <w:p w:rsidR="00DF24EE" w:rsidRPr="00143316" w:rsidRDefault="00DF24EE" w:rsidP="00DF24EE">
      <w:pPr>
        <w:pStyle w:val="Default"/>
        <w:spacing w:after="42"/>
        <w:jc w:val="both"/>
        <w:rPr>
          <w:sz w:val="20"/>
          <w:szCs w:val="20"/>
        </w:rPr>
      </w:pPr>
      <w:r w:rsidRPr="00143316">
        <w:rPr>
          <w:sz w:val="20"/>
          <w:szCs w:val="20"/>
        </w:rPr>
        <w:t>a) AKTS Kredisi: Avrupa Kredi Transfer Sistemi (AKTS),</w:t>
      </w:r>
    </w:p>
    <w:p w:rsidR="00DF24EE" w:rsidRPr="00143316" w:rsidRDefault="00DF24EE" w:rsidP="00DF24EE">
      <w:pPr>
        <w:pStyle w:val="Default"/>
        <w:spacing w:after="42"/>
        <w:jc w:val="both"/>
        <w:rPr>
          <w:sz w:val="20"/>
          <w:szCs w:val="20"/>
        </w:rPr>
      </w:pPr>
      <w:r w:rsidRPr="00143316">
        <w:rPr>
          <w:sz w:val="20"/>
          <w:szCs w:val="20"/>
        </w:rPr>
        <w:t>b) Birim: Enstitü, Fakülte, Yüksekokul, Meslek Yüksekokulunu,</w:t>
      </w:r>
    </w:p>
    <w:p w:rsidR="00DF24EE" w:rsidRPr="00143316" w:rsidRDefault="00DF24EE" w:rsidP="00DF24EE">
      <w:pPr>
        <w:pStyle w:val="Default"/>
        <w:spacing w:after="42"/>
        <w:jc w:val="both"/>
        <w:rPr>
          <w:sz w:val="20"/>
          <w:szCs w:val="20"/>
        </w:rPr>
      </w:pPr>
      <w:r w:rsidRPr="00143316">
        <w:rPr>
          <w:sz w:val="20"/>
          <w:szCs w:val="20"/>
        </w:rPr>
        <w:t>c) Birim Yönetim Kurulu: İlgili Birimin Yönetim Kurulunu,</w:t>
      </w:r>
    </w:p>
    <w:p w:rsidR="00DF24EE" w:rsidRPr="00143316" w:rsidRDefault="00DF24EE" w:rsidP="00DF24EE">
      <w:pPr>
        <w:pStyle w:val="Default"/>
        <w:spacing w:after="42"/>
        <w:jc w:val="both"/>
        <w:rPr>
          <w:color w:val="auto"/>
          <w:sz w:val="20"/>
          <w:szCs w:val="20"/>
        </w:rPr>
      </w:pPr>
      <w:r w:rsidRPr="00143316">
        <w:rPr>
          <w:color w:val="auto"/>
          <w:sz w:val="20"/>
          <w:szCs w:val="20"/>
        </w:rPr>
        <w:t>d) Doğrudan Dönüşüm Sistemi (DDS): Öğrencinin bir dersteki başarı notunun belirli bir ölçeğe göre harfli başarı notuna çevrilerek başarısının değerlendirilmesini</w:t>
      </w:r>
    </w:p>
    <w:p w:rsidR="00DF24EE" w:rsidRPr="00143316" w:rsidRDefault="00DF24EE" w:rsidP="00DF24EE">
      <w:pPr>
        <w:pStyle w:val="Default"/>
        <w:spacing w:after="42"/>
        <w:jc w:val="both"/>
        <w:rPr>
          <w:sz w:val="20"/>
          <w:szCs w:val="20"/>
        </w:rPr>
      </w:pPr>
      <w:r w:rsidRPr="00143316">
        <w:rPr>
          <w:sz w:val="20"/>
          <w:szCs w:val="20"/>
        </w:rPr>
        <w:t xml:space="preserve">e) AGNO: Ağırlıklı </w:t>
      </w:r>
      <w:proofErr w:type="gramStart"/>
      <w:r w:rsidRPr="00143316">
        <w:rPr>
          <w:sz w:val="20"/>
          <w:szCs w:val="20"/>
        </w:rPr>
        <w:t>Genel  Not</w:t>
      </w:r>
      <w:proofErr w:type="gramEnd"/>
      <w:r w:rsidRPr="00143316">
        <w:rPr>
          <w:sz w:val="20"/>
          <w:szCs w:val="20"/>
        </w:rPr>
        <w:t xml:space="preserve"> Ortalamasını,</w:t>
      </w:r>
    </w:p>
    <w:p w:rsidR="00DF24EE" w:rsidRPr="00143316" w:rsidRDefault="00DF24EE" w:rsidP="00DF24EE">
      <w:pPr>
        <w:pStyle w:val="Default"/>
        <w:spacing w:after="42"/>
        <w:jc w:val="both"/>
        <w:rPr>
          <w:sz w:val="20"/>
          <w:szCs w:val="20"/>
        </w:rPr>
      </w:pPr>
      <w:r w:rsidRPr="00143316">
        <w:rPr>
          <w:sz w:val="20"/>
          <w:szCs w:val="20"/>
        </w:rPr>
        <w:t xml:space="preserve">f) İntibak İşlemi: Üniversiteye kayıt hakkı kazanan öğrencilerin daha önce herhangi bir yükseköğretim kurumundan alıp başardığı veya muaf sayıldığı derslere göre devam edecekleri yarıyıl/yılı </w:t>
      </w:r>
      <w:r w:rsidR="00983899" w:rsidRPr="00143316">
        <w:rPr>
          <w:sz w:val="20"/>
          <w:szCs w:val="20"/>
        </w:rPr>
        <w:t xml:space="preserve">ve alacağı dersleri </w:t>
      </w:r>
      <w:r w:rsidRPr="00143316">
        <w:rPr>
          <w:sz w:val="20"/>
          <w:szCs w:val="20"/>
        </w:rPr>
        <w:t>belirleme işlemini,</w:t>
      </w:r>
    </w:p>
    <w:p w:rsidR="00DF24EE" w:rsidRPr="00143316" w:rsidRDefault="00DF24EE" w:rsidP="00DF24EE">
      <w:pPr>
        <w:pStyle w:val="Default"/>
        <w:spacing w:after="42"/>
        <w:jc w:val="both"/>
        <w:rPr>
          <w:color w:val="auto"/>
          <w:sz w:val="20"/>
          <w:szCs w:val="20"/>
        </w:rPr>
      </w:pPr>
      <w:r w:rsidRPr="00143316">
        <w:rPr>
          <w:color w:val="auto"/>
          <w:sz w:val="20"/>
          <w:szCs w:val="20"/>
        </w:rPr>
        <w:t xml:space="preserve">g) Muafiyet ve İntibak Komisyonu: İlgili </w:t>
      </w:r>
      <w:r w:rsidR="00983899" w:rsidRPr="00143316">
        <w:rPr>
          <w:color w:val="auto"/>
          <w:sz w:val="20"/>
          <w:szCs w:val="20"/>
        </w:rPr>
        <w:t>Birim tarafından</w:t>
      </w:r>
      <w:r w:rsidRPr="00143316">
        <w:rPr>
          <w:color w:val="auto"/>
          <w:sz w:val="20"/>
          <w:szCs w:val="20"/>
        </w:rPr>
        <w:t xml:space="preserve"> oluşturulan muafiyet ve intibak taleplerinin incelendiği en az üç öğretim elemanından oluşan program/bölüm komisyonunu,</w:t>
      </w:r>
    </w:p>
    <w:p w:rsidR="00DF24EE" w:rsidRPr="00143316" w:rsidRDefault="00DF24EE" w:rsidP="00DF24EE">
      <w:pPr>
        <w:pStyle w:val="Default"/>
        <w:spacing w:after="42"/>
        <w:jc w:val="both"/>
        <w:rPr>
          <w:sz w:val="20"/>
          <w:szCs w:val="20"/>
        </w:rPr>
      </w:pPr>
      <w:r w:rsidRPr="00143316">
        <w:rPr>
          <w:sz w:val="20"/>
          <w:szCs w:val="20"/>
        </w:rPr>
        <w:t>h) Muafiyet: Daha önce alınmış ve başarılmış ders/derslerin yerine, AKTS kredisi, ulusal kredi ve içerik uyumuna göre müfredatta bulunan ders/derslerin denkliğinin kabul edilmesi durumunu,</w:t>
      </w:r>
    </w:p>
    <w:p w:rsidR="00DF24EE" w:rsidRPr="00143316" w:rsidRDefault="00DF24EE" w:rsidP="00DF24EE">
      <w:pPr>
        <w:pStyle w:val="Default"/>
        <w:spacing w:after="42"/>
        <w:jc w:val="both"/>
        <w:rPr>
          <w:sz w:val="20"/>
          <w:szCs w:val="20"/>
        </w:rPr>
      </w:pPr>
      <w:r w:rsidRPr="00143316">
        <w:rPr>
          <w:sz w:val="20"/>
          <w:szCs w:val="20"/>
        </w:rPr>
        <w:t>i) ÖSYM: Ölçme, Seçme ve Yerleştirme Merkezini,</w:t>
      </w:r>
    </w:p>
    <w:p w:rsidR="00DF24EE" w:rsidRPr="00143316" w:rsidRDefault="00260CAE" w:rsidP="00DF24EE">
      <w:pPr>
        <w:pStyle w:val="Default"/>
        <w:spacing w:after="42"/>
        <w:jc w:val="both"/>
        <w:rPr>
          <w:sz w:val="20"/>
          <w:szCs w:val="20"/>
        </w:rPr>
      </w:pPr>
      <w:r w:rsidRPr="00143316">
        <w:rPr>
          <w:sz w:val="20"/>
          <w:szCs w:val="20"/>
        </w:rPr>
        <w:t>j)</w:t>
      </w:r>
      <w:r w:rsidR="00DF24EE" w:rsidRPr="00143316">
        <w:rPr>
          <w:sz w:val="20"/>
          <w:szCs w:val="20"/>
        </w:rPr>
        <w:t xml:space="preserve"> Senato: Kırıkkale Üniversitesi Senatosunu,</w:t>
      </w:r>
    </w:p>
    <w:p w:rsidR="00DF24EE" w:rsidRPr="00143316" w:rsidRDefault="00260CAE" w:rsidP="00DF24EE">
      <w:pPr>
        <w:pStyle w:val="Default"/>
        <w:spacing w:after="42"/>
        <w:jc w:val="both"/>
        <w:rPr>
          <w:sz w:val="20"/>
          <w:szCs w:val="20"/>
        </w:rPr>
      </w:pPr>
      <w:r w:rsidRPr="00143316">
        <w:rPr>
          <w:sz w:val="20"/>
          <w:szCs w:val="20"/>
        </w:rPr>
        <w:t>k</w:t>
      </w:r>
      <w:r w:rsidR="00DF24EE" w:rsidRPr="00143316">
        <w:rPr>
          <w:sz w:val="20"/>
          <w:szCs w:val="20"/>
        </w:rPr>
        <w:t>) Üniversite: Kırıkkale Üniversitesini,</w:t>
      </w:r>
    </w:p>
    <w:p w:rsidR="00DF24EE" w:rsidRPr="00143316" w:rsidRDefault="00260CAE" w:rsidP="00DF24EE">
      <w:pPr>
        <w:pStyle w:val="Default"/>
        <w:jc w:val="both"/>
        <w:rPr>
          <w:sz w:val="20"/>
          <w:szCs w:val="20"/>
        </w:rPr>
      </w:pPr>
      <w:r w:rsidRPr="00143316">
        <w:rPr>
          <w:sz w:val="20"/>
          <w:szCs w:val="20"/>
        </w:rPr>
        <w:t>l</w:t>
      </w:r>
      <w:r w:rsidR="00BA761D" w:rsidRPr="00143316">
        <w:rPr>
          <w:sz w:val="20"/>
          <w:szCs w:val="20"/>
        </w:rPr>
        <w:t>) YÖK: Yükseköğretim Kurum</w:t>
      </w:r>
      <w:r w:rsidR="00DF24EE" w:rsidRPr="00143316">
        <w:rPr>
          <w:sz w:val="20"/>
          <w:szCs w:val="20"/>
        </w:rPr>
        <w:t>unu,</w:t>
      </w:r>
    </w:p>
    <w:p w:rsidR="00DF24EE" w:rsidRPr="00143316" w:rsidRDefault="00DF24EE" w:rsidP="00DF24EE">
      <w:pPr>
        <w:pStyle w:val="Default"/>
        <w:jc w:val="both"/>
        <w:rPr>
          <w:sz w:val="20"/>
          <w:szCs w:val="20"/>
        </w:rPr>
      </w:pPr>
      <w:r w:rsidRPr="00143316">
        <w:rPr>
          <w:b/>
          <w:bCs/>
          <w:sz w:val="20"/>
          <w:szCs w:val="20"/>
        </w:rPr>
        <w:t>Başvuru</w:t>
      </w:r>
    </w:p>
    <w:p w:rsidR="009A26EA" w:rsidRDefault="00DF24EE" w:rsidP="009A26EA">
      <w:pPr>
        <w:pStyle w:val="Default"/>
        <w:jc w:val="both"/>
        <w:rPr>
          <w:sz w:val="20"/>
          <w:szCs w:val="20"/>
        </w:rPr>
      </w:pPr>
      <w:r w:rsidRPr="00143316">
        <w:rPr>
          <w:b/>
          <w:bCs/>
          <w:sz w:val="20"/>
          <w:szCs w:val="20"/>
        </w:rPr>
        <w:t xml:space="preserve">MADDE 5- </w:t>
      </w:r>
      <w:r w:rsidRPr="00143316">
        <w:rPr>
          <w:sz w:val="20"/>
          <w:szCs w:val="20"/>
        </w:rPr>
        <w:t xml:space="preserve">(1) ÖSYM tarafından </w:t>
      </w:r>
      <w:r w:rsidR="00BA761D" w:rsidRPr="00143316">
        <w:rPr>
          <w:sz w:val="20"/>
          <w:szCs w:val="20"/>
        </w:rPr>
        <w:t xml:space="preserve">Üniversiteye </w:t>
      </w:r>
      <w:r w:rsidRPr="00143316">
        <w:rPr>
          <w:sz w:val="20"/>
          <w:szCs w:val="20"/>
        </w:rPr>
        <w:t>yerleştirilen veya yatay geçiş yaparak gelen öğrencilerin, kayıt yaptırdıkları tarihi izleyen iki hafta içinde ilgili birime muafiyet için dilekçeyle başvurmaları g</w:t>
      </w:r>
      <w:r w:rsidR="00BA761D" w:rsidRPr="00143316">
        <w:rPr>
          <w:sz w:val="20"/>
          <w:szCs w:val="20"/>
        </w:rPr>
        <w:t>erekir. Hazırlık öğrencileri,</w:t>
      </w:r>
      <w:r w:rsidRPr="00143316">
        <w:rPr>
          <w:sz w:val="20"/>
          <w:szCs w:val="20"/>
        </w:rPr>
        <w:t xml:space="preserve"> yeterlik sonuçlarının açıklanmasından itibaren iki hafta içinde ilgili birime intibak başvurusu yapmalıdır.</w:t>
      </w:r>
    </w:p>
    <w:p w:rsidR="00DF24EE" w:rsidRPr="00143316" w:rsidRDefault="007F2A87" w:rsidP="009A26EA">
      <w:pPr>
        <w:pStyle w:val="Default"/>
        <w:jc w:val="both"/>
        <w:rPr>
          <w:color w:val="auto"/>
          <w:sz w:val="20"/>
          <w:szCs w:val="20"/>
        </w:rPr>
      </w:pPr>
      <w:r w:rsidRPr="00143316">
        <w:rPr>
          <w:color w:val="auto"/>
          <w:sz w:val="20"/>
          <w:szCs w:val="20"/>
        </w:rPr>
        <w:t>İntibak işlemleri tüm</w:t>
      </w:r>
      <w:r w:rsidR="008F2B02" w:rsidRPr="00143316">
        <w:rPr>
          <w:color w:val="auto"/>
          <w:sz w:val="20"/>
          <w:szCs w:val="20"/>
        </w:rPr>
        <w:t xml:space="preserve"> öğretim</w:t>
      </w:r>
      <w:r w:rsidRPr="00143316">
        <w:rPr>
          <w:color w:val="auto"/>
          <w:sz w:val="20"/>
          <w:szCs w:val="20"/>
        </w:rPr>
        <w:t xml:space="preserve"> programı</w:t>
      </w:r>
      <w:r w:rsidR="008F2B02" w:rsidRPr="00143316">
        <w:rPr>
          <w:color w:val="auto"/>
          <w:sz w:val="20"/>
          <w:szCs w:val="20"/>
        </w:rPr>
        <w:t>nı</w:t>
      </w:r>
      <w:r w:rsidRPr="00143316">
        <w:rPr>
          <w:color w:val="auto"/>
          <w:sz w:val="20"/>
          <w:szCs w:val="20"/>
        </w:rPr>
        <w:t xml:space="preserve"> ka</w:t>
      </w:r>
      <w:r w:rsidR="008F2B02" w:rsidRPr="00143316">
        <w:rPr>
          <w:color w:val="auto"/>
          <w:sz w:val="20"/>
          <w:szCs w:val="20"/>
        </w:rPr>
        <w:t>psayacak şekilde yapılır.</w:t>
      </w:r>
      <w:r w:rsidRPr="00143316">
        <w:rPr>
          <w:color w:val="auto"/>
          <w:sz w:val="20"/>
          <w:szCs w:val="20"/>
        </w:rPr>
        <w:t xml:space="preserve"> </w:t>
      </w:r>
      <w:r w:rsidR="008F2B02" w:rsidRPr="00143316">
        <w:rPr>
          <w:color w:val="auto"/>
          <w:sz w:val="20"/>
          <w:szCs w:val="20"/>
        </w:rPr>
        <w:t xml:space="preserve">Öğrencilerin </w:t>
      </w:r>
      <w:r w:rsidRPr="00143316">
        <w:rPr>
          <w:color w:val="auto"/>
          <w:sz w:val="20"/>
          <w:szCs w:val="20"/>
        </w:rPr>
        <w:t xml:space="preserve">sonraki yarıyılda/yıllarda </w:t>
      </w:r>
      <w:r w:rsidR="00DF24EE" w:rsidRPr="00143316">
        <w:rPr>
          <w:color w:val="auto"/>
          <w:sz w:val="20"/>
          <w:szCs w:val="20"/>
        </w:rPr>
        <w:t>yapacakları muafiyet talepleri ya da yapılan muafiyet/intibak işlemlerinin iptaline yönelik talepler kabul edilmez</w:t>
      </w:r>
      <w:r w:rsidR="00DF24EE" w:rsidRPr="00143316">
        <w:rPr>
          <w:color w:val="FF0000"/>
          <w:sz w:val="20"/>
          <w:szCs w:val="20"/>
        </w:rPr>
        <w:t>.</w:t>
      </w:r>
    </w:p>
    <w:p w:rsidR="00DF24EE" w:rsidRPr="00143316" w:rsidRDefault="00DF24EE" w:rsidP="00DF24EE">
      <w:pPr>
        <w:pStyle w:val="Default"/>
        <w:jc w:val="both"/>
        <w:rPr>
          <w:color w:val="auto"/>
          <w:sz w:val="20"/>
          <w:szCs w:val="20"/>
        </w:rPr>
      </w:pPr>
      <w:r w:rsidRPr="00143316">
        <w:rPr>
          <w:color w:val="auto"/>
          <w:sz w:val="20"/>
          <w:szCs w:val="20"/>
        </w:rPr>
        <w:t>(2) Başvuru şahsen veya resmi veki</w:t>
      </w:r>
      <w:r w:rsidR="008F2B02" w:rsidRPr="00143316">
        <w:rPr>
          <w:color w:val="auto"/>
          <w:sz w:val="20"/>
          <w:szCs w:val="20"/>
        </w:rPr>
        <w:t>ller tarafından elden yapılır. S</w:t>
      </w:r>
      <w:r w:rsidRPr="00143316">
        <w:rPr>
          <w:color w:val="auto"/>
          <w:sz w:val="20"/>
          <w:szCs w:val="20"/>
        </w:rPr>
        <w:t>üresi geçtikten sonra yapılan başvurular kabul edilmez.</w:t>
      </w:r>
    </w:p>
    <w:p w:rsidR="00DF24EE" w:rsidRPr="00143316" w:rsidRDefault="00DF24EE" w:rsidP="00DF24EE">
      <w:pPr>
        <w:pStyle w:val="Default"/>
        <w:jc w:val="both"/>
        <w:rPr>
          <w:color w:val="auto"/>
          <w:sz w:val="20"/>
          <w:szCs w:val="20"/>
        </w:rPr>
      </w:pPr>
      <w:r w:rsidRPr="00143316">
        <w:rPr>
          <w:color w:val="auto"/>
          <w:sz w:val="20"/>
          <w:szCs w:val="20"/>
        </w:rPr>
        <w:t xml:space="preserve"> (3) </w:t>
      </w:r>
      <w:r w:rsidR="008F2B02" w:rsidRPr="00143316">
        <w:rPr>
          <w:color w:val="auto"/>
          <w:sz w:val="20"/>
          <w:szCs w:val="20"/>
        </w:rPr>
        <w:t>Muafiyet dilekçesine</w:t>
      </w:r>
      <w:r w:rsidRPr="00143316">
        <w:rPr>
          <w:color w:val="auto"/>
          <w:sz w:val="20"/>
          <w:szCs w:val="20"/>
        </w:rPr>
        <w:t xml:space="preserve">, öğrencinin daha önce alarak başarılı olduğu derslere ait ders içerikleri ile yükseköğretim kurumu tarafından onaylanmış (mühürlü, kaşeli ve imzalı) not belgesinin eklenmesi zorunludur. </w:t>
      </w:r>
      <w:r w:rsidR="008F2B02" w:rsidRPr="00143316">
        <w:rPr>
          <w:color w:val="auto"/>
          <w:sz w:val="20"/>
          <w:szCs w:val="20"/>
        </w:rPr>
        <w:t>Belgelerin</w:t>
      </w:r>
      <w:r w:rsidRPr="00143316">
        <w:rPr>
          <w:color w:val="auto"/>
          <w:sz w:val="20"/>
          <w:szCs w:val="20"/>
        </w:rPr>
        <w:t xml:space="preserve"> onaysız ve/veya eksik olması durumunda başvuru işleme alınmaz.</w:t>
      </w:r>
    </w:p>
    <w:p w:rsidR="00DF24EE" w:rsidRPr="00143316" w:rsidRDefault="00DF24EE" w:rsidP="00DF24EE">
      <w:pPr>
        <w:pStyle w:val="Default"/>
        <w:jc w:val="both"/>
        <w:rPr>
          <w:color w:val="auto"/>
          <w:sz w:val="20"/>
          <w:szCs w:val="20"/>
        </w:rPr>
      </w:pPr>
      <w:r w:rsidRPr="00143316">
        <w:rPr>
          <w:color w:val="auto"/>
          <w:sz w:val="20"/>
          <w:szCs w:val="20"/>
        </w:rPr>
        <w:t>(4)</w:t>
      </w:r>
      <w:r w:rsidR="00335DA6" w:rsidRPr="00143316">
        <w:rPr>
          <w:color w:val="auto"/>
          <w:sz w:val="20"/>
          <w:szCs w:val="20"/>
        </w:rPr>
        <w:t xml:space="preserve"> Muafiyet ve intibak işlemleri</w:t>
      </w:r>
      <w:r w:rsidRPr="00143316">
        <w:rPr>
          <w:color w:val="auto"/>
          <w:sz w:val="20"/>
          <w:szCs w:val="20"/>
        </w:rPr>
        <w:t>, öğrencinin başvurusunu takip eden 10 iş günü içerisinde Muafiyet ve İntibak Komisyonl</w:t>
      </w:r>
      <w:r w:rsidR="00335DA6" w:rsidRPr="00143316">
        <w:rPr>
          <w:color w:val="auto"/>
          <w:sz w:val="20"/>
          <w:szCs w:val="20"/>
        </w:rPr>
        <w:t>arı tarafından değerlendirilir ve</w:t>
      </w:r>
      <w:r w:rsidRPr="00143316">
        <w:rPr>
          <w:color w:val="auto"/>
          <w:sz w:val="20"/>
          <w:szCs w:val="20"/>
        </w:rPr>
        <w:t xml:space="preserve"> Birim Yön</w:t>
      </w:r>
      <w:r w:rsidR="00335DA6" w:rsidRPr="00143316">
        <w:rPr>
          <w:color w:val="auto"/>
          <w:sz w:val="20"/>
          <w:szCs w:val="20"/>
        </w:rPr>
        <w:t>etim Kurulunca sonuçlandırılarak karara bağlanır.</w:t>
      </w:r>
    </w:p>
    <w:p w:rsidR="009A26EA" w:rsidRDefault="009A26EA">
      <w:pPr>
        <w:spacing w:after="160" w:line="259" w:lineRule="auto"/>
        <w:rPr>
          <w:rFonts w:eastAsiaTheme="minorHAnsi"/>
          <w:b/>
          <w:bCs/>
          <w:sz w:val="20"/>
          <w:szCs w:val="20"/>
          <w:lang w:eastAsia="en-US"/>
        </w:rPr>
      </w:pPr>
      <w:r>
        <w:rPr>
          <w:b/>
          <w:bCs/>
          <w:sz w:val="20"/>
          <w:szCs w:val="20"/>
        </w:rPr>
        <w:br w:type="page"/>
      </w:r>
    </w:p>
    <w:p w:rsidR="00DF24EE" w:rsidRPr="00143316" w:rsidRDefault="00DF24EE" w:rsidP="00DF24EE">
      <w:pPr>
        <w:pStyle w:val="Default"/>
        <w:jc w:val="both"/>
        <w:rPr>
          <w:color w:val="auto"/>
          <w:sz w:val="20"/>
          <w:szCs w:val="20"/>
        </w:rPr>
      </w:pPr>
      <w:r w:rsidRPr="00143316">
        <w:rPr>
          <w:b/>
          <w:bCs/>
          <w:color w:val="auto"/>
          <w:sz w:val="20"/>
          <w:szCs w:val="20"/>
        </w:rPr>
        <w:lastRenderedPageBreak/>
        <w:t>Muafiyet ve İntibak ile İlgili Hususlar</w:t>
      </w:r>
    </w:p>
    <w:p w:rsidR="00DF24EE" w:rsidRPr="00143316" w:rsidRDefault="00DF24EE" w:rsidP="00DF24EE">
      <w:pPr>
        <w:pStyle w:val="Default"/>
        <w:jc w:val="both"/>
        <w:rPr>
          <w:color w:val="auto"/>
          <w:sz w:val="20"/>
          <w:szCs w:val="20"/>
        </w:rPr>
      </w:pPr>
      <w:r w:rsidRPr="00143316">
        <w:rPr>
          <w:b/>
          <w:bCs/>
          <w:color w:val="auto"/>
          <w:sz w:val="20"/>
          <w:szCs w:val="20"/>
        </w:rPr>
        <w:t>MADDE 6</w:t>
      </w:r>
      <w:r w:rsidR="0097644C" w:rsidRPr="00143316">
        <w:rPr>
          <w:color w:val="auto"/>
          <w:sz w:val="20"/>
          <w:szCs w:val="20"/>
        </w:rPr>
        <w:t>-</w:t>
      </w:r>
    </w:p>
    <w:p w:rsidR="00DF24EE" w:rsidRPr="00143316" w:rsidRDefault="0097644C" w:rsidP="00DF24EE">
      <w:pPr>
        <w:pStyle w:val="Default"/>
        <w:spacing w:after="75"/>
        <w:jc w:val="both"/>
        <w:rPr>
          <w:color w:val="auto"/>
          <w:sz w:val="20"/>
          <w:szCs w:val="20"/>
        </w:rPr>
      </w:pPr>
      <w:r w:rsidRPr="00143316">
        <w:rPr>
          <w:color w:val="auto"/>
          <w:sz w:val="20"/>
          <w:szCs w:val="20"/>
        </w:rPr>
        <w:t>(1</w:t>
      </w:r>
      <w:r w:rsidR="00DF24EE" w:rsidRPr="00143316">
        <w:rPr>
          <w:color w:val="auto"/>
          <w:sz w:val="20"/>
          <w:szCs w:val="20"/>
        </w:rPr>
        <w:t>) Muafiyet istenen dersin zorunlu veya seçmeli ders olmasına bakılmaksızın, bölüm/program eşdeğerliği dikkate alınarak (başarılı olmuş olmak şartıyla), ders içeriğine</w:t>
      </w:r>
      <w:r w:rsidR="00E8058B" w:rsidRPr="00143316">
        <w:rPr>
          <w:color w:val="auto"/>
          <w:sz w:val="20"/>
          <w:szCs w:val="20"/>
        </w:rPr>
        <w:t>, uyumuna/yeterliliğine ve</w:t>
      </w:r>
      <w:r w:rsidR="00DF24EE" w:rsidRPr="00143316">
        <w:rPr>
          <w:color w:val="auto"/>
          <w:sz w:val="20"/>
          <w:szCs w:val="20"/>
        </w:rPr>
        <w:t xml:space="preserve"> AKTS kredisine göre karar verilir. </w:t>
      </w:r>
    </w:p>
    <w:p w:rsidR="00DF24EE" w:rsidRPr="00143316" w:rsidRDefault="0097644C" w:rsidP="00DF24EE">
      <w:pPr>
        <w:pStyle w:val="Default"/>
        <w:spacing w:after="75"/>
        <w:jc w:val="both"/>
        <w:rPr>
          <w:color w:val="auto"/>
          <w:sz w:val="20"/>
          <w:szCs w:val="20"/>
        </w:rPr>
      </w:pPr>
      <w:r w:rsidRPr="00143316">
        <w:rPr>
          <w:color w:val="auto"/>
          <w:sz w:val="20"/>
          <w:szCs w:val="20"/>
        </w:rPr>
        <w:t>(2</w:t>
      </w:r>
      <w:r w:rsidR="00DF24EE" w:rsidRPr="00143316">
        <w:rPr>
          <w:color w:val="auto"/>
          <w:sz w:val="20"/>
          <w:szCs w:val="20"/>
        </w:rPr>
        <w:t>) AKTS kredisi olmaması durumunda ulusal kredisine bakılır.</w:t>
      </w:r>
    </w:p>
    <w:p w:rsidR="00DF24EE" w:rsidRPr="00143316" w:rsidRDefault="0097644C" w:rsidP="00DF24EE">
      <w:pPr>
        <w:pStyle w:val="Default"/>
        <w:spacing w:after="75"/>
        <w:jc w:val="both"/>
        <w:rPr>
          <w:color w:val="auto"/>
          <w:sz w:val="20"/>
          <w:szCs w:val="20"/>
        </w:rPr>
      </w:pPr>
      <w:r w:rsidRPr="00143316">
        <w:rPr>
          <w:color w:val="auto"/>
          <w:sz w:val="20"/>
          <w:szCs w:val="20"/>
        </w:rPr>
        <w:t>(3</w:t>
      </w:r>
      <w:r w:rsidR="00DF24EE" w:rsidRPr="00143316">
        <w:rPr>
          <w:color w:val="auto"/>
          <w:sz w:val="20"/>
          <w:szCs w:val="20"/>
        </w:rPr>
        <w:t>) Birden fazla kez tekrarlanan dersler için en son alınan başarı notu muafiyet değerlendirmesine esas alınır.</w:t>
      </w:r>
    </w:p>
    <w:p w:rsidR="00DF24EE" w:rsidRPr="00143316" w:rsidRDefault="0097644C" w:rsidP="00DF24EE">
      <w:pPr>
        <w:pStyle w:val="Default"/>
        <w:spacing w:after="75"/>
        <w:jc w:val="both"/>
        <w:rPr>
          <w:color w:val="auto"/>
          <w:sz w:val="20"/>
          <w:szCs w:val="20"/>
        </w:rPr>
      </w:pPr>
      <w:r w:rsidRPr="00143316">
        <w:rPr>
          <w:color w:val="auto"/>
          <w:sz w:val="20"/>
          <w:szCs w:val="20"/>
        </w:rPr>
        <w:t>(4</w:t>
      </w:r>
      <w:r w:rsidR="00DF24EE" w:rsidRPr="00143316">
        <w:rPr>
          <w:color w:val="auto"/>
          <w:sz w:val="20"/>
          <w:szCs w:val="20"/>
        </w:rPr>
        <w:t xml:space="preserve">) Muafiyet ve İntibak komisyonunun önerisi üzerine birim yönetim kurulunca </w:t>
      </w:r>
      <w:r w:rsidR="004B6341" w:rsidRPr="00143316">
        <w:rPr>
          <w:color w:val="auto"/>
          <w:sz w:val="20"/>
          <w:szCs w:val="20"/>
        </w:rPr>
        <w:t>karara bağlanarak</w:t>
      </w:r>
      <w:r w:rsidR="00DF24EE" w:rsidRPr="00143316">
        <w:rPr>
          <w:color w:val="auto"/>
          <w:sz w:val="20"/>
          <w:szCs w:val="20"/>
        </w:rPr>
        <w:t xml:space="preserve"> muaf tutulan derslerin muafiyet işlemlerinde not ve harf karşılıkları yazılır. Notlu muaf olunan dersler Genel </w:t>
      </w:r>
      <w:r w:rsidR="00DF24EE" w:rsidRPr="00143316">
        <w:rPr>
          <w:sz w:val="20"/>
          <w:szCs w:val="20"/>
        </w:rPr>
        <w:t>Ağırlıklı Genel Not Ortalaması</w:t>
      </w:r>
      <w:r w:rsidR="00DF24EE" w:rsidRPr="00143316">
        <w:rPr>
          <w:color w:val="auto"/>
          <w:sz w:val="20"/>
          <w:szCs w:val="20"/>
        </w:rPr>
        <w:t xml:space="preserve"> (AGNO) hesabında değerlendirmeye alınır. Notsuz muaf olunan dersler </w:t>
      </w:r>
      <w:r w:rsidR="00DF24EE" w:rsidRPr="00143316">
        <w:rPr>
          <w:sz w:val="20"/>
          <w:szCs w:val="20"/>
        </w:rPr>
        <w:t>Ağırlıklı Genel Not Ortalaması</w:t>
      </w:r>
      <w:r w:rsidR="00DF24EE" w:rsidRPr="00143316">
        <w:rPr>
          <w:color w:val="auto"/>
          <w:sz w:val="20"/>
          <w:szCs w:val="20"/>
        </w:rPr>
        <w:t xml:space="preserve"> (AGNO) hesabında değerlendirmeye alınmaz.</w:t>
      </w:r>
    </w:p>
    <w:p w:rsidR="00DF24EE" w:rsidRPr="00143316" w:rsidRDefault="0097644C" w:rsidP="00DF24EE">
      <w:pPr>
        <w:pStyle w:val="Default"/>
        <w:spacing w:after="75"/>
        <w:jc w:val="both"/>
        <w:rPr>
          <w:color w:val="auto"/>
          <w:sz w:val="20"/>
          <w:szCs w:val="20"/>
        </w:rPr>
      </w:pPr>
      <w:r w:rsidRPr="00143316">
        <w:rPr>
          <w:color w:val="auto"/>
          <w:sz w:val="20"/>
          <w:szCs w:val="20"/>
        </w:rPr>
        <w:t>(5</w:t>
      </w:r>
      <w:r w:rsidR="00DF24EE" w:rsidRPr="00143316">
        <w:rPr>
          <w:color w:val="auto"/>
          <w:sz w:val="20"/>
          <w:szCs w:val="20"/>
        </w:rPr>
        <w:t>) CC ve üzerinde olan derslerin muafiyeti yapılır.</w:t>
      </w:r>
    </w:p>
    <w:p w:rsidR="00DF24EE" w:rsidRPr="00143316" w:rsidRDefault="0097644C" w:rsidP="00DF24EE">
      <w:pPr>
        <w:pStyle w:val="Default"/>
        <w:spacing w:after="75"/>
        <w:jc w:val="both"/>
        <w:rPr>
          <w:color w:val="auto"/>
          <w:sz w:val="20"/>
          <w:szCs w:val="20"/>
        </w:rPr>
      </w:pPr>
      <w:r w:rsidRPr="00143316">
        <w:rPr>
          <w:color w:val="auto"/>
          <w:sz w:val="20"/>
          <w:szCs w:val="20"/>
        </w:rPr>
        <w:t>(6</w:t>
      </w:r>
      <w:r w:rsidR="00DF24EE" w:rsidRPr="00143316">
        <w:rPr>
          <w:color w:val="auto"/>
          <w:sz w:val="20"/>
          <w:szCs w:val="20"/>
        </w:rPr>
        <w:t>) Muafiyet istenen ders/derslerin son 5 (beş) eğitim – öğretim yılı içinde alınması gereklidir  (af kanunu ile kayıtlar hariç).</w:t>
      </w:r>
    </w:p>
    <w:p w:rsidR="00DF24EE" w:rsidRPr="00143316" w:rsidRDefault="0097644C" w:rsidP="00DF24EE">
      <w:pPr>
        <w:pStyle w:val="Default"/>
        <w:spacing w:after="75"/>
        <w:jc w:val="both"/>
        <w:rPr>
          <w:color w:val="auto"/>
          <w:sz w:val="20"/>
          <w:szCs w:val="20"/>
        </w:rPr>
      </w:pPr>
      <w:r w:rsidRPr="00143316">
        <w:rPr>
          <w:color w:val="auto"/>
          <w:sz w:val="20"/>
          <w:szCs w:val="20"/>
        </w:rPr>
        <w:t>(7</w:t>
      </w:r>
      <w:r w:rsidR="00DF24EE" w:rsidRPr="00143316">
        <w:rPr>
          <w:color w:val="auto"/>
          <w:sz w:val="20"/>
          <w:szCs w:val="20"/>
        </w:rPr>
        <w:t xml:space="preserve">) Türk Dili I-II, A.İ.İ.T I-II, Beden-Resim-Müzik I-II, Yabancı Dil I-II, Temel Bilgisayar Teknolojileri </w:t>
      </w:r>
      <w:proofErr w:type="gramStart"/>
      <w:r w:rsidR="00DF24EE" w:rsidRPr="00143316">
        <w:rPr>
          <w:color w:val="auto"/>
          <w:sz w:val="20"/>
          <w:szCs w:val="20"/>
        </w:rPr>
        <w:t>Kullanımı  dersleri</w:t>
      </w:r>
      <w:proofErr w:type="gramEnd"/>
      <w:r w:rsidR="00DF24EE" w:rsidRPr="00143316">
        <w:rPr>
          <w:color w:val="auto"/>
          <w:sz w:val="20"/>
          <w:szCs w:val="20"/>
        </w:rPr>
        <w:t xml:space="preserve"> için eğitim-öğretim yılı süre şartı aranmaz.</w:t>
      </w:r>
    </w:p>
    <w:p w:rsidR="00DF24EE" w:rsidRPr="00143316" w:rsidRDefault="0097644C" w:rsidP="00DF24EE">
      <w:pPr>
        <w:pStyle w:val="Default"/>
        <w:spacing w:after="75"/>
        <w:jc w:val="both"/>
        <w:rPr>
          <w:color w:val="FF0000"/>
          <w:sz w:val="20"/>
          <w:szCs w:val="20"/>
        </w:rPr>
      </w:pPr>
      <w:r w:rsidRPr="00143316">
        <w:rPr>
          <w:color w:val="auto"/>
          <w:sz w:val="20"/>
          <w:szCs w:val="20"/>
        </w:rPr>
        <w:t>(8</w:t>
      </w:r>
      <w:r w:rsidR="00DF24EE" w:rsidRPr="00143316">
        <w:rPr>
          <w:color w:val="auto"/>
          <w:sz w:val="20"/>
          <w:szCs w:val="20"/>
        </w:rPr>
        <w:t>) Muaf olunan derslerin AKTS Kredi toplamı, ilgili programın ders programındaki derslerin toplam AKTS kredisinin % 50 sini geçemez</w:t>
      </w:r>
      <w:r w:rsidR="004B6341" w:rsidRPr="00143316">
        <w:rPr>
          <w:color w:val="auto"/>
          <w:sz w:val="20"/>
          <w:szCs w:val="20"/>
        </w:rPr>
        <w:t xml:space="preserve">. </w:t>
      </w:r>
      <w:r w:rsidR="00CE0B3E" w:rsidRPr="00143316">
        <w:rPr>
          <w:color w:val="auto"/>
          <w:sz w:val="20"/>
          <w:szCs w:val="20"/>
        </w:rPr>
        <w:t>Ek Madde-1’e göre yatay g</w:t>
      </w:r>
      <w:r w:rsidR="00DF087F" w:rsidRPr="00143316">
        <w:rPr>
          <w:color w:val="auto"/>
          <w:sz w:val="20"/>
          <w:szCs w:val="20"/>
        </w:rPr>
        <w:t xml:space="preserve">eçiş </w:t>
      </w:r>
      <w:r w:rsidR="00CE0B3E" w:rsidRPr="00143316">
        <w:rPr>
          <w:color w:val="auto"/>
          <w:sz w:val="20"/>
          <w:szCs w:val="20"/>
        </w:rPr>
        <w:t>y</w:t>
      </w:r>
      <w:r w:rsidR="00DF087F" w:rsidRPr="00143316">
        <w:rPr>
          <w:color w:val="auto"/>
          <w:sz w:val="20"/>
          <w:szCs w:val="20"/>
        </w:rPr>
        <w:t>apa</w:t>
      </w:r>
      <w:r w:rsidR="004B6341" w:rsidRPr="00143316">
        <w:rPr>
          <w:color w:val="auto"/>
          <w:sz w:val="20"/>
          <w:szCs w:val="20"/>
        </w:rPr>
        <w:t>nlarda bu oran dikkate alınmaz</w:t>
      </w:r>
      <w:r w:rsidR="00DF24EE" w:rsidRPr="00143316">
        <w:rPr>
          <w:color w:val="auto"/>
          <w:sz w:val="20"/>
          <w:szCs w:val="20"/>
        </w:rPr>
        <w:t>. Muafiyet talep olunan derslerin AKTS kredileri, toplam ders AKTS kredilerinin yarısından fazla ise, öğrenc</w:t>
      </w:r>
      <w:r w:rsidR="004B6341" w:rsidRPr="00143316">
        <w:rPr>
          <w:color w:val="auto"/>
          <w:sz w:val="20"/>
          <w:szCs w:val="20"/>
        </w:rPr>
        <w:t>inin talebi doğrultusunda; öğrencinin bu yönde</w:t>
      </w:r>
      <w:r w:rsidR="00DF24EE" w:rsidRPr="00143316">
        <w:rPr>
          <w:color w:val="auto"/>
          <w:sz w:val="20"/>
          <w:szCs w:val="20"/>
        </w:rPr>
        <w:t xml:space="preserve"> bir talebi yoksa öğrencinin almış olduğu en yüksek nottan başlayarak, muaf olunacak dersler belirlenir. </w:t>
      </w:r>
    </w:p>
    <w:p w:rsidR="00DF24EE" w:rsidRPr="00143316" w:rsidRDefault="0097644C" w:rsidP="00DF24EE">
      <w:pPr>
        <w:pStyle w:val="Default"/>
        <w:spacing w:after="75"/>
        <w:jc w:val="both"/>
        <w:rPr>
          <w:color w:val="auto"/>
          <w:sz w:val="20"/>
          <w:szCs w:val="20"/>
        </w:rPr>
      </w:pPr>
      <w:r w:rsidRPr="00143316">
        <w:rPr>
          <w:color w:val="auto"/>
          <w:sz w:val="20"/>
          <w:szCs w:val="20"/>
        </w:rPr>
        <w:t>(9</w:t>
      </w:r>
      <w:r w:rsidR="00DF24EE" w:rsidRPr="00143316">
        <w:rPr>
          <w:color w:val="auto"/>
          <w:sz w:val="20"/>
          <w:szCs w:val="20"/>
        </w:rPr>
        <w:t>) Eşdeğer sayılması istenen bir dersin adının, eşdeğer sayılacak ders ile birebir aynı olması gerekmez. Ders değerlendirmesinde, dersin içeriği ve AKTS kredisi dikkate alınır.</w:t>
      </w:r>
    </w:p>
    <w:p w:rsidR="00DF24EE" w:rsidRPr="00143316" w:rsidRDefault="00DF24EE" w:rsidP="00DF24EE">
      <w:pPr>
        <w:pStyle w:val="Default"/>
        <w:spacing w:after="75"/>
        <w:jc w:val="both"/>
        <w:rPr>
          <w:color w:val="auto"/>
          <w:sz w:val="20"/>
          <w:szCs w:val="20"/>
        </w:rPr>
      </w:pPr>
      <w:r w:rsidRPr="00143316">
        <w:rPr>
          <w:color w:val="auto"/>
          <w:sz w:val="20"/>
          <w:szCs w:val="20"/>
        </w:rPr>
        <w:t>(1</w:t>
      </w:r>
      <w:r w:rsidR="0097644C" w:rsidRPr="00143316">
        <w:rPr>
          <w:color w:val="auto"/>
          <w:sz w:val="20"/>
          <w:szCs w:val="20"/>
        </w:rPr>
        <w:t>0</w:t>
      </w:r>
      <w:r w:rsidRPr="00143316">
        <w:rPr>
          <w:color w:val="auto"/>
          <w:sz w:val="20"/>
          <w:szCs w:val="20"/>
        </w:rPr>
        <w:t>) Yatay geçiş yoluyla kayıt yapılan ve geçiş yapmadan önceki yükseköğretim kurumundan alınarak başarılı olunan derslerinin muafiyet taleplerinde; birden fazla dersin bir derse eşdeğer sayılması durumunda bu derslerin kredisine göre ağırlıklı not ortalaması alınarak intibak yapılır. Bir dersin içeriğinin, birden fazla derse eşdeğer sayılması durumunda, dersin AKTS Kredileri göz önünde bulundurularak geçer not eşdeğer derslerine verilir.</w:t>
      </w:r>
    </w:p>
    <w:p w:rsidR="00DF24EE" w:rsidRPr="00143316" w:rsidRDefault="0097644C" w:rsidP="009A26EA">
      <w:pPr>
        <w:pStyle w:val="Default"/>
        <w:jc w:val="both"/>
        <w:rPr>
          <w:color w:val="auto"/>
          <w:sz w:val="20"/>
          <w:szCs w:val="20"/>
        </w:rPr>
      </w:pPr>
      <w:r w:rsidRPr="00143316">
        <w:rPr>
          <w:color w:val="auto"/>
          <w:sz w:val="20"/>
          <w:szCs w:val="20"/>
        </w:rPr>
        <w:t>(11</w:t>
      </w:r>
      <w:r w:rsidR="00DF24EE" w:rsidRPr="00143316">
        <w:rPr>
          <w:color w:val="auto"/>
          <w:sz w:val="20"/>
          <w:szCs w:val="20"/>
        </w:rPr>
        <w:t>) Muafiyet ve intibak işlemleri hakkındaki kararlara yönelik itirazlar, Birim Yönetim Kurulu kararının bölüm başkanlığınca öğrenciye bildirildiği tarihten itibaren 5 (beş) iş günü içinde ilgili Birime yapılır.</w:t>
      </w:r>
    </w:p>
    <w:p w:rsidR="00DF24EE" w:rsidRPr="00143316" w:rsidRDefault="0097644C" w:rsidP="009A26EA">
      <w:pPr>
        <w:pStyle w:val="Default"/>
        <w:jc w:val="both"/>
        <w:rPr>
          <w:color w:val="auto"/>
          <w:sz w:val="20"/>
          <w:szCs w:val="20"/>
        </w:rPr>
      </w:pPr>
      <w:r w:rsidRPr="00143316">
        <w:rPr>
          <w:color w:val="auto"/>
          <w:sz w:val="20"/>
          <w:szCs w:val="20"/>
        </w:rPr>
        <w:t>(12</w:t>
      </w:r>
      <w:r w:rsidR="009803EB" w:rsidRPr="00143316">
        <w:rPr>
          <w:color w:val="auto"/>
          <w:sz w:val="20"/>
          <w:szCs w:val="20"/>
        </w:rPr>
        <w:t>) İ</w:t>
      </w:r>
      <w:r w:rsidR="00DF24EE" w:rsidRPr="00143316">
        <w:rPr>
          <w:color w:val="auto"/>
          <w:sz w:val="20"/>
          <w:szCs w:val="20"/>
        </w:rPr>
        <w:t>lgili yönetim kurulu tarafından karara bağlanıncaya kadar öğrenci, muafiyet talebinde bulunduğu derse devam etmekle yükümlüdür.</w:t>
      </w:r>
    </w:p>
    <w:p w:rsidR="00DF24EE" w:rsidRPr="00143316" w:rsidRDefault="00DF24EE" w:rsidP="00DF24EE">
      <w:pPr>
        <w:pStyle w:val="Default"/>
        <w:jc w:val="both"/>
        <w:rPr>
          <w:color w:val="auto"/>
          <w:sz w:val="20"/>
          <w:szCs w:val="20"/>
        </w:rPr>
      </w:pPr>
      <w:r w:rsidRPr="00143316">
        <w:rPr>
          <w:b/>
          <w:bCs/>
          <w:color w:val="auto"/>
          <w:sz w:val="20"/>
          <w:szCs w:val="20"/>
        </w:rPr>
        <w:t>İntibak Yarıyıl/Yıllarının Tespiti</w:t>
      </w:r>
    </w:p>
    <w:p w:rsidR="00DF24EE" w:rsidRPr="00143316" w:rsidRDefault="00DF24EE" w:rsidP="00DF24EE">
      <w:pPr>
        <w:pStyle w:val="Default"/>
        <w:jc w:val="both"/>
        <w:rPr>
          <w:color w:val="auto"/>
          <w:sz w:val="20"/>
          <w:szCs w:val="20"/>
        </w:rPr>
      </w:pPr>
      <w:r w:rsidRPr="00143316">
        <w:rPr>
          <w:b/>
          <w:bCs/>
          <w:color w:val="auto"/>
          <w:sz w:val="20"/>
          <w:szCs w:val="20"/>
        </w:rPr>
        <w:t xml:space="preserve">MADDE 7- </w:t>
      </w:r>
      <w:r w:rsidRPr="00143316">
        <w:rPr>
          <w:color w:val="auto"/>
          <w:sz w:val="20"/>
          <w:szCs w:val="20"/>
        </w:rPr>
        <w:t>(1) Muaf olunan de</w:t>
      </w:r>
      <w:r w:rsidR="009803EB" w:rsidRPr="00143316">
        <w:rPr>
          <w:color w:val="auto"/>
          <w:sz w:val="20"/>
          <w:szCs w:val="20"/>
        </w:rPr>
        <w:t>rslerin AKTS kredi toplamı, öğretim</w:t>
      </w:r>
      <w:r w:rsidRPr="00143316">
        <w:rPr>
          <w:color w:val="auto"/>
          <w:sz w:val="20"/>
          <w:szCs w:val="20"/>
        </w:rPr>
        <w:t xml:space="preserve"> programında gösterilen yarıyıl/yıl AKTS kredi yükünün %70’inden fazla ise öğrenci</w:t>
      </w:r>
      <w:r w:rsidR="009803EB" w:rsidRPr="00143316">
        <w:rPr>
          <w:color w:val="auto"/>
          <w:sz w:val="20"/>
          <w:szCs w:val="20"/>
        </w:rPr>
        <w:t>,</w:t>
      </w:r>
      <w:r w:rsidRPr="00143316">
        <w:rPr>
          <w:color w:val="auto"/>
          <w:sz w:val="20"/>
          <w:szCs w:val="20"/>
        </w:rPr>
        <w:t xml:space="preserve"> bir üst yarıyıla/yıla intibak ettirilir. Alınmayan/muaf olunmayan dersler öncelikle alınır. </w:t>
      </w:r>
    </w:p>
    <w:p w:rsidR="00DF24EE" w:rsidRPr="00143316" w:rsidRDefault="00DF24EE" w:rsidP="00DF24EE">
      <w:pPr>
        <w:pStyle w:val="Default"/>
        <w:jc w:val="both"/>
        <w:rPr>
          <w:color w:val="auto"/>
          <w:sz w:val="20"/>
          <w:szCs w:val="20"/>
        </w:rPr>
      </w:pPr>
      <w:r w:rsidRPr="00143316">
        <w:rPr>
          <w:color w:val="auto"/>
          <w:sz w:val="20"/>
          <w:szCs w:val="20"/>
        </w:rPr>
        <w:t>(2) Kurumlar arası yatay geçişle kayıt yaptıran öğrencilerin intibakları, yatay geçiş yaptıkları sınıfın ilgili yarıyılına/yılına yapılır.</w:t>
      </w:r>
    </w:p>
    <w:p w:rsidR="00DF24EE" w:rsidRPr="00143316" w:rsidRDefault="00DF24EE" w:rsidP="00DF24EE">
      <w:pPr>
        <w:pStyle w:val="Default"/>
        <w:jc w:val="both"/>
        <w:rPr>
          <w:color w:val="auto"/>
          <w:sz w:val="20"/>
          <w:szCs w:val="20"/>
        </w:rPr>
      </w:pPr>
      <w:r w:rsidRPr="00143316">
        <w:rPr>
          <w:color w:val="auto"/>
          <w:sz w:val="20"/>
          <w:szCs w:val="20"/>
        </w:rPr>
        <w:t>(3) Kurum içi yatay geçişlerde, ders intibakları yapıldıktan sonra öğrenciye önceki yarıyıllardan/yıllardan dersler aldırılabilir. İkinci öğretim programından aynı programın birinci öğretimine geçiş yapan öğrencilerin, bulundukları sınıfa notları ile birlikte intibakları yapılır.</w:t>
      </w:r>
    </w:p>
    <w:p w:rsidR="00DF24EE" w:rsidRPr="00143316" w:rsidRDefault="00DF24EE" w:rsidP="00DF24EE">
      <w:pPr>
        <w:pStyle w:val="Default"/>
        <w:jc w:val="both"/>
        <w:rPr>
          <w:color w:val="000000" w:themeColor="text1"/>
          <w:sz w:val="20"/>
          <w:szCs w:val="20"/>
        </w:rPr>
      </w:pPr>
      <w:r w:rsidRPr="00143316">
        <w:rPr>
          <w:b/>
          <w:bCs/>
          <w:color w:val="000000" w:themeColor="text1"/>
          <w:sz w:val="20"/>
          <w:szCs w:val="20"/>
        </w:rPr>
        <w:t xml:space="preserve">Hazırlık Sınıfı Muafiyet Esasları </w:t>
      </w:r>
    </w:p>
    <w:p w:rsidR="00DF24EE" w:rsidRPr="00143316" w:rsidRDefault="00DF24EE" w:rsidP="00DF24EE">
      <w:pPr>
        <w:pStyle w:val="Default"/>
        <w:jc w:val="both"/>
        <w:rPr>
          <w:color w:val="000000" w:themeColor="text1"/>
          <w:sz w:val="20"/>
          <w:szCs w:val="20"/>
        </w:rPr>
      </w:pPr>
      <w:r w:rsidRPr="00143316">
        <w:rPr>
          <w:b/>
          <w:bCs/>
          <w:color w:val="000000" w:themeColor="text1"/>
          <w:sz w:val="20"/>
          <w:szCs w:val="20"/>
        </w:rPr>
        <w:t xml:space="preserve">MADDE 8- </w:t>
      </w:r>
      <w:r w:rsidR="0072266A" w:rsidRPr="00143316">
        <w:rPr>
          <w:color w:val="000000" w:themeColor="text1"/>
          <w:sz w:val="20"/>
          <w:szCs w:val="20"/>
        </w:rPr>
        <w:t>(1) Üniversitey</w:t>
      </w:r>
      <w:r w:rsidRPr="00143316">
        <w:rPr>
          <w:color w:val="000000" w:themeColor="text1"/>
          <w:sz w:val="20"/>
          <w:szCs w:val="20"/>
        </w:rPr>
        <w:t xml:space="preserve">e kayıt yaptıran öğrencilerin Hazırlık Sınıfından muaf olabilmeleri için, o yılki akademik takvimde ilan edilen Yeterlik Sınavına girip başarılı olmaları veya Yükseköğretim Kurulu Başkanlığı tarafından eşdeğerliği kabul edilen </w:t>
      </w:r>
      <w:r w:rsidR="00201E50" w:rsidRPr="00143316">
        <w:rPr>
          <w:color w:val="auto"/>
          <w:sz w:val="20"/>
          <w:szCs w:val="20"/>
        </w:rPr>
        <w:t>ulusal/</w:t>
      </w:r>
      <w:r w:rsidRPr="00143316">
        <w:rPr>
          <w:color w:val="auto"/>
          <w:sz w:val="20"/>
          <w:szCs w:val="20"/>
        </w:rPr>
        <w:t xml:space="preserve">uluslararası </w:t>
      </w:r>
      <w:r w:rsidRPr="00143316">
        <w:rPr>
          <w:color w:val="000000" w:themeColor="text1"/>
          <w:sz w:val="20"/>
          <w:szCs w:val="20"/>
        </w:rPr>
        <w:t>sınavlardan geçerli puanı elde etmeleri gerekir.</w:t>
      </w:r>
    </w:p>
    <w:p w:rsidR="00DF24EE" w:rsidRPr="00143316" w:rsidRDefault="00DF24EE" w:rsidP="00DF24EE">
      <w:pPr>
        <w:pStyle w:val="Default"/>
        <w:jc w:val="both"/>
        <w:rPr>
          <w:color w:val="000000" w:themeColor="text1"/>
          <w:sz w:val="20"/>
          <w:szCs w:val="20"/>
        </w:rPr>
      </w:pPr>
      <w:r w:rsidRPr="00143316">
        <w:rPr>
          <w:color w:val="000000" w:themeColor="text1"/>
          <w:sz w:val="20"/>
          <w:szCs w:val="20"/>
        </w:rPr>
        <w:t xml:space="preserve">(2) Bu maddenin birinci fıkrasındaki koşulları sağlayan öğrenciler lisans programlarına başlayabilirler. </w:t>
      </w:r>
      <w:r w:rsidR="0072266A" w:rsidRPr="00143316">
        <w:rPr>
          <w:color w:val="000000" w:themeColor="text1"/>
          <w:sz w:val="20"/>
          <w:szCs w:val="20"/>
        </w:rPr>
        <w:t>Yeterlilik sınavında b</w:t>
      </w:r>
      <w:r w:rsidRPr="00143316">
        <w:rPr>
          <w:color w:val="000000" w:themeColor="text1"/>
          <w:sz w:val="20"/>
          <w:szCs w:val="20"/>
        </w:rPr>
        <w:t>aşarısız olan öğrenciler Hazırlık Sınıfına devam ederler.</w:t>
      </w:r>
    </w:p>
    <w:p w:rsidR="009A26EA" w:rsidRDefault="009A26EA">
      <w:pPr>
        <w:spacing w:after="160" w:line="259" w:lineRule="auto"/>
        <w:rPr>
          <w:rFonts w:eastAsiaTheme="minorHAnsi"/>
          <w:b/>
          <w:bCs/>
          <w:sz w:val="20"/>
          <w:szCs w:val="20"/>
          <w:lang w:eastAsia="en-US"/>
        </w:rPr>
      </w:pPr>
      <w:r>
        <w:rPr>
          <w:b/>
          <w:bCs/>
          <w:sz w:val="20"/>
          <w:szCs w:val="20"/>
        </w:rPr>
        <w:br w:type="page"/>
      </w:r>
    </w:p>
    <w:p w:rsidR="00DF24EE" w:rsidRPr="00143316" w:rsidRDefault="00DF24EE" w:rsidP="00DF24EE">
      <w:pPr>
        <w:pStyle w:val="Default"/>
        <w:jc w:val="both"/>
        <w:rPr>
          <w:color w:val="FF0000"/>
          <w:sz w:val="20"/>
          <w:szCs w:val="20"/>
        </w:rPr>
      </w:pPr>
      <w:r w:rsidRPr="00143316">
        <w:rPr>
          <w:b/>
          <w:bCs/>
          <w:color w:val="auto"/>
          <w:sz w:val="20"/>
          <w:szCs w:val="20"/>
        </w:rPr>
        <w:lastRenderedPageBreak/>
        <w:t>Dikey Geçişe İlişkin Esaslar</w:t>
      </w:r>
    </w:p>
    <w:p w:rsidR="00DF24EE" w:rsidRPr="00143316" w:rsidRDefault="00DF24EE" w:rsidP="00DF24EE">
      <w:pPr>
        <w:pStyle w:val="Default"/>
        <w:jc w:val="both"/>
        <w:rPr>
          <w:color w:val="auto"/>
          <w:sz w:val="20"/>
          <w:szCs w:val="20"/>
        </w:rPr>
      </w:pPr>
      <w:r w:rsidRPr="00143316">
        <w:rPr>
          <w:b/>
          <w:bCs/>
          <w:color w:val="auto"/>
          <w:sz w:val="20"/>
          <w:szCs w:val="20"/>
        </w:rPr>
        <w:t>MADDE 9-</w:t>
      </w:r>
      <w:r w:rsidRPr="00143316">
        <w:rPr>
          <w:color w:val="auto"/>
          <w:sz w:val="20"/>
          <w:szCs w:val="20"/>
        </w:rPr>
        <w:t xml:space="preserve">(1) Dikey Geçiş Sınavı sonucunda lisans öğrenimine başlama hakkını elde eden öğrenciler hakkında, Meslek Yüksekokulları ve Açık Öğretim </w:t>
      </w:r>
      <w:proofErr w:type="spellStart"/>
      <w:r w:rsidRPr="00143316">
        <w:rPr>
          <w:color w:val="auto"/>
          <w:sz w:val="20"/>
          <w:szCs w:val="20"/>
        </w:rPr>
        <w:t>Önlisans</w:t>
      </w:r>
      <w:proofErr w:type="spellEnd"/>
      <w:r w:rsidRPr="00143316">
        <w:rPr>
          <w:color w:val="auto"/>
          <w:sz w:val="20"/>
          <w:szCs w:val="20"/>
        </w:rPr>
        <w:t xml:space="preserve"> Programları Mezunlarının Lisans Öğrenimine Devamları Hakkında Yönetmelik hükümleri uygulanır.</w:t>
      </w:r>
    </w:p>
    <w:p w:rsidR="00DF24EE" w:rsidRPr="00143316" w:rsidRDefault="00DF24EE" w:rsidP="00DF24EE">
      <w:pPr>
        <w:pStyle w:val="Default"/>
        <w:jc w:val="both"/>
        <w:rPr>
          <w:color w:val="auto"/>
          <w:sz w:val="20"/>
          <w:szCs w:val="20"/>
        </w:rPr>
      </w:pPr>
      <w:r w:rsidRPr="00143316">
        <w:rPr>
          <w:color w:val="auto"/>
          <w:sz w:val="20"/>
          <w:szCs w:val="20"/>
        </w:rPr>
        <w:t>(2) Yabancı dille öğretim yapılan lisans programlarına kayıt yaptırma hakkını kazanan öğrencilerin lisans programına başlayabilmeleri için, o yılki akademik takvimde ilan edilen Yeterlik Sınavına girip başarılı olmaları veya eşdeğerliği kabul edilen uluslararası sınavlardan geçerli puanı elde etmeleri gerekir. Bu koşulu sağlayamayan öğrenciler hazırlık sınıfına devam ederler.</w:t>
      </w:r>
    </w:p>
    <w:p w:rsidR="009A26EA" w:rsidRDefault="00DF24EE" w:rsidP="009A26EA">
      <w:pPr>
        <w:pStyle w:val="Default"/>
        <w:jc w:val="both"/>
        <w:rPr>
          <w:color w:val="auto"/>
          <w:sz w:val="20"/>
          <w:szCs w:val="20"/>
        </w:rPr>
      </w:pPr>
      <w:r w:rsidRPr="00143316">
        <w:rPr>
          <w:color w:val="auto"/>
          <w:sz w:val="20"/>
          <w:szCs w:val="20"/>
        </w:rPr>
        <w:t>(3</w:t>
      </w:r>
      <w:r w:rsidRPr="00143316">
        <w:rPr>
          <w:b/>
          <w:bCs/>
          <w:color w:val="auto"/>
          <w:sz w:val="20"/>
          <w:szCs w:val="20"/>
        </w:rPr>
        <w:t xml:space="preserve">) </w:t>
      </w:r>
      <w:r w:rsidRPr="00143316">
        <w:rPr>
          <w:color w:val="auto"/>
          <w:sz w:val="20"/>
          <w:szCs w:val="20"/>
        </w:rPr>
        <w:t xml:space="preserve"> Lisans öğrenimine başlama hakkı elde eden öğrencilerin </w:t>
      </w:r>
      <w:proofErr w:type="spellStart"/>
      <w:r w:rsidRPr="00143316">
        <w:rPr>
          <w:color w:val="auto"/>
          <w:sz w:val="20"/>
          <w:szCs w:val="20"/>
        </w:rPr>
        <w:t>önlisans</w:t>
      </w:r>
      <w:proofErr w:type="spellEnd"/>
      <w:r w:rsidRPr="00143316">
        <w:rPr>
          <w:color w:val="auto"/>
          <w:sz w:val="20"/>
          <w:szCs w:val="20"/>
        </w:rPr>
        <w:t xml:space="preserve"> eğitimi sırasında almış oldukları derslerden eş değer kabul edilenler için, Fakülte/Yüksekokul Muafiyet ve İntibak Komisyonları tarafından incelenerek yönetim kurulu tarafından muafiyet kararı verilir. Öğrencinin alması gereken derslere göre programa kaydı yapılarak, eğitime devam hakkı tanınır. </w:t>
      </w:r>
    </w:p>
    <w:p w:rsidR="00DF24EE" w:rsidRPr="00143316" w:rsidRDefault="004B6341" w:rsidP="009A26EA">
      <w:pPr>
        <w:pStyle w:val="Default"/>
        <w:jc w:val="both"/>
        <w:rPr>
          <w:color w:val="FF0000"/>
          <w:sz w:val="20"/>
          <w:szCs w:val="20"/>
        </w:rPr>
      </w:pPr>
      <w:r w:rsidRPr="00143316">
        <w:rPr>
          <w:b/>
          <w:bCs/>
          <w:color w:val="auto"/>
          <w:sz w:val="20"/>
          <w:szCs w:val="20"/>
        </w:rPr>
        <w:t>Özel veya Misafir</w:t>
      </w:r>
      <w:r w:rsidR="00DF24EE" w:rsidRPr="00143316">
        <w:rPr>
          <w:b/>
          <w:bCs/>
          <w:color w:val="auto"/>
          <w:sz w:val="20"/>
          <w:szCs w:val="20"/>
        </w:rPr>
        <w:t xml:space="preserve"> Öğrencilerle İlgili Muafiyet Esasları </w:t>
      </w:r>
    </w:p>
    <w:p w:rsidR="00DF24EE" w:rsidRPr="00143316" w:rsidRDefault="00DF24EE" w:rsidP="00DF24EE">
      <w:pPr>
        <w:pStyle w:val="Default"/>
        <w:jc w:val="both"/>
        <w:rPr>
          <w:color w:val="auto"/>
          <w:sz w:val="20"/>
          <w:szCs w:val="20"/>
        </w:rPr>
      </w:pPr>
      <w:proofErr w:type="gramStart"/>
      <w:r w:rsidRPr="00143316">
        <w:rPr>
          <w:b/>
          <w:bCs/>
          <w:color w:val="auto"/>
          <w:sz w:val="20"/>
          <w:szCs w:val="20"/>
        </w:rPr>
        <w:t xml:space="preserve">MADDE 10 </w:t>
      </w:r>
      <w:r w:rsidRPr="00143316">
        <w:rPr>
          <w:color w:val="auto"/>
          <w:sz w:val="20"/>
          <w:szCs w:val="20"/>
        </w:rPr>
        <w:t xml:space="preserve">- (1) Kırıkkale Üniversitesi programlarından birinde kayıtlı iken, YÖK tarafından denkliği kabul edilen başka bir yükseköğretim kurumunun programlarında özel veya misafir öğrenci statüsünde ders alan ve/veya ulusal/uluslararası değişim programları ile öğrenim gören öğrencilerin diğer yükseköğretim kurumlarından alacağı derslerin, bu kurumlarda eğitime başlanmadan önce, ilgili birim yönetim kurulu kararıyla kabul edilmiş olması gerekir. </w:t>
      </w:r>
      <w:proofErr w:type="gramEnd"/>
      <w:r w:rsidRPr="00143316">
        <w:rPr>
          <w:color w:val="auto"/>
          <w:sz w:val="20"/>
          <w:szCs w:val="20"/>
        </w:rPr>
        <w:t>Diğer yükseköğretim kurumundan alınan derslerin intibak işlemleri bölüm başkanlığı tarafından işlenir.</w:t>
      </w:r>
    </w:p>
    <w:p w:rsidR="00DF24EE" w:rsidRPr="00143316" w:rsidRDefault="00DF24EE" w:rsidP="00DF24EE">
      <w:pPr>
        <w:pStyle w:val="Default"/>
        <w:jc w:val="both"/>
        <w:rPr>
          <w:color w:val="FF0000"/>
          <w:sz w:val="20"/>
          <w:szCs w:val="20"/>
        </w:rPr>
      </w:pPr>
      <w:r w:rsidRPr="00143316">
        <w:rPr>
          <w:b/>
          <w:bCs/>
          <w:color w:val="auto"/>
          <w:sz w:val="20"/>
          <w:szCs w:val="20"/>
        </w:rPr>
        <w:t>İntibak ve intibak formunun düzenlenmesi</w:t>
      </w:r>
    </w:p>
    <w:p w:rsidR="00DF24EE" w:rsidRPr="00143316" w:rsidRDefault="00DF24EE" w:rsidP="00DF24EE">
      <w:pPr>
        <w:pStyle w:val="Default"/>
        <w:jc w:val="both"/>
        <w:rPr>
          <w:color w:val="auto"/>
          <w:sz w:val="20"/>
          <w:szCs w:val="20"/>
        </w:rPr>
      </w:pPr>
      <w:r w:rsidRPr="00143316">
        <w:rPr>
          <w:b/>
          <w:bCs/>
          <w:color w:val="auto"/>
          <w:sz w:val="20"/>
          <w:szCs w:val="20"/>
        </w:rPr>
        <w:t xml:space="preserve">MADDE 11 - </w:t>
      </w:r>
      <w:r w:rsidRPr="00143316">
        <w:rPr>
          <w:color w:val="auto"/>
          <w:sz w:val="20"/>
          <w:szCs w:val="20"/>
        </w:rPr>
        <w:t>(1) Tüm birimlerde Kırıkkale Üniversitesi Öğrenci İşleri Daire Başkanlığı tarafından belirlenecek ortak formlar kullanılır.</w:t>
      </w:r>
    </w:p>
    <w:p w:rsidR="00DF24EE" w:rsidRPr="00143316" w:rsidRDefault="00DF24EE" w:rsidP="00DF24EE">
      <w:pPr>
        <w:pStyle w:val="Default"/>
        <w:jc w:val="both"/>
        <w:rPr>
          <w:color w:val="auto"/>
          <w:sz w:val="20"/>
          <w:szCs w:val="20"/>
        </w:rPr>
      </w:pPr>
      <w:r w:rsidRPr="00143316">
        <w:rPr>
          <w:color w:val="auto"/>
          <w:sz w:val="20"/>
          <w:szCs w:val="20"/>
        </w:rPr>
        <w:t>(2) İntibak formunda, öğrencinin hangi sınıfa ve yarıyıla intibak ettirildiği ve daha önce alınan dersin kodu, adı, AKTS Kredisi ve harfli başarı notu ile muaf olunan dersin kodu, adı AKTS Kredisi ve harfli başarı notu belirtilir.</w:t>
      </w:r>
    </w:p>
    <w:p w:rsidR="00DF24EE" w:rsidRPr="00143316" w:rsidRDefault="00DF24EE" w:rsidP="00DF24EE">
      <w:pPr>
        <w:pStyle w:val="Default"/>
        <w:jc w:val="both"/>
        <w:rPr>
          <w:color w:val="auto"/>
          <w:sz w:val="20"/>
          <w:szCs w:val="20"/>
        </w:rPr>
      </w:pPr>
      <w:r w:rsidRPr="00143316">
        <w:rPr>
          <w:color w:val="auto"/>
          <w:sz w:val="20"/>
          <w:szCs w:val="20"/>
        </w:rPr>
        <w:t>(3) Öğrencinin daha önce öğrenim gördüğü kurumdan almış olduğu öğrenim durum belgesinde (transkript) bir dersin harfli başarı notu olarak;</w:t>
      </w:r>
    </w:p>
    <w:p w:rsidR="00DF24EE" w:rsidRPr="00143316" w:rsidRDefault="00DF24EE" w:rsidP="00DF24EE">
      <w:pPr>
        <w:pStyle w:val="Default"/>
        <w:spacing w:after="40"/>
        <w:jc w:val="both"/>
        <w:rPr>
          <w:color w:val="auto"/>
          <w:sz w:val="20"/>
          <w:szCs w:val="20"/>
        </w:rPr>
      </w:pPr>
      <w:r w:rsidRPr="00143316">
        <w:rPr>
          <w:color w:val="auto"/>
          <w:sz w:val="20"/>
          <w:szCs w:val="20"/>
        </w:rPr>
        <w:t>a) Sadece yüzlük notu bulunuyor ise Tablo:1’deki Doğrudan Dönüşüm Sistemindeki harf notu karşılığı yazılır.</w:t>
      </w:r>
    </w:p>
    <w:p w:rsidR="00DF24EE" w:rsidRPr="00143316" w:rsidRDefault="00DF24EE" w:rsidP="00DF24EE">
      <w:pPr>
        <w:pStyle w:val="Default"/>
        <w:spacing w:after="40"/>
        <w:jc w:val="both"/>
        <w:rPr>
          <w:color w:val="auto"/>
          <w:sz w:val="20"/>
          <w:szCs w:val="20"/>
        </w:rPr>
      </w:pPr>
      <w:r w:rsidRPr="00143316">
        <w:rPr>
          <w:color w:val="auto"/>
          <w:sz w:val="20"/>
          <w:szCs w:val="20"/>
        </w:rPr>
        <w:t>b) Sadece harf notu varsa ve Kırıkkale Üniversitesinde kullanılan harf notu sistemiyle aynı ise, intibak formuna bu harf notu yazılır.</w:t>
      </w:r>
    </w:p>
    <w:p w:rsidR="00DF24EE" w:rsidRPr="00143316" w:rsidRDefault="00DF24EE" w:rsidP="00DF24EE">
      <w:pPr>
        <w:pStyle w:val="Default"/>
        <w:spacing w:after="40"/>
        <w:jc w:val="both"/>
        <w:rPr>
          <w:color w:val="auto"/>
          <w:sz w:val="20"/>
          <w:szCs w:val="20"/>
        </w:rPr>
      </w:pPr>
      <w:r w:rsidRPr="00143316">
        <w:rPr>
          <w:color w:val="auto"/>
          <w:sz w:val="20"/>
          <w:szCs w:val="20"/>
        </w:rPr>
        <w:t>c) Sadece dörtlük notu bulunuyorsa, Tablo:1’deki Doğrudan Dönüşüm Sistemindeki dörtlük nota karşılık gelen harf notu intibak formuna yazılır.</w:t>
      </w:r>
    </w:p>
    <w:p w:rsidR="00DF24EE" w:rsidRPr="00143316" w:rsidRDefault="00DF24EE" w:rsidP="00DF24EE">
      <w:pPr>
        <w:pStyle w:val="Default"/>
        <w:spacing w:after="40"/>
        <w:jc w:val="both"/>
        <w:rPr>
          <w:color w:val="auto"/>
          <w:sz w:val="20"/>
          <w:szCs w:val="20"/>
        </w:rPr>
      </w:pPr>
      <w:r w:rsidRPr="00143316">
        <w:rPr>
          <w:color w:val="auto"/>
          <w:sz w:val="20"/>
          <w:szCs w:val="20"/>
        </w:rPr>
        <w:t>d) Harf notu Kırıkkale Üniversitesinde kullanılan harf notu sistemiyle aynı değilse ve beraberinde yüzlük not varsa, (a) bendindeki işlem; beraberinde dörtlük not varsa, (c) bendindeki işlem uygulanır.</w:t>
      </w:r>
    </w:p>
    <w:p w:rsidR="00DF24EE" w:rsidRPr="00143316" w:rsidRDefault="00DF24EE" w:rsidP="00DF24EE">
      <w:pPr>
        <w:pStyle w:val="Default"/>
        <w:spacing w:after="40"/>
        <w:jc w:val="both"/>
        <w:rPr>
          <w:color w:val="auto"/>
          <w:sz w:val="20"/>
          <w:szCs w:val="20"/>
        </w:rPr>
      </w:pPr>
      <w:r w:rsidRPr="00143316">
        <w:rPr>
          <w:color w:val="auto"/>
          <w:sz w:val="20"/>
          <w:szCs w:val="20"/>
        </w:rPr>
        <w:t>e)</w:t>
      </w:r>
      <w:r w:rsidRPr="00143316">
        <w:rPr>
          <w:rFonts w:eastAsia="ヒラギノ明朝 Pro W3"/>
          <w:sz w:val="20"/>
          <w:szCs w:val="20"/>
        </w:rPr>
        <w:t xml:space="preserve"> Not tanımlaması yapılmayan dersler ve uygulamalar için başarılı derslere M (Muaf) harfi yazılır.</w:t>
      </w:r>
    </w:p>
    <w:p w:rsidR="00DF24EE" w:rsidRPr="00143316" w:rsidRDefault="00DF24EE" w:rsidP="00DF24EE">
      <w:pPr>
        <w:pStyle w:val="Default"/>
        <w:jc w:val="both"/>
        <w:rPr>
          <w:color w:val="auto"/>
          <w:sz w:val="20"/>
          <w:szCs w:val="20"/>
        </w:rPr>
      </w:pPr>
    </w:p>
    <w:p w:rsidR="00DF24EE" w:rsidRPr="00143316" w:rsidRDefault="00DF24EE" w:rsidP="00DF24EE">
      <w:pPr>
        <w:pStyle w:val="Default"/>
        <w:jc w:val="both"/>
        <w:rPr>
          <w:color w:val="auto"/>
          <w:sz w:val="20"/>
          <w:szCs w:val="20"/>
        </w:rPr>
      </w:pPr>
      <w:r w:rsidRPr="00143316">
        <w:rPr>
          <w:b/>
          <w:bCs/>
          <w:color w:val="auto"/>
          <w:sz w:val="20"/>
          <w:szCs w:val="20"/>
        </w:rPr>
        <w:t>Hüküm Bulunmayan Haller</w:t>
      </w:r>
    </w:p>
    <w:p w:rsidR="00DF24EE" w:rsidRPr="00143316" w:rsidRDefault="00DF24EE" w:rsidP="00DF24EE">
      <w:pPr>
        <w:pStyle w:val="Default"/>
        <w:jc w:val="both"/>
        <w:rPr>
          <w:color w:val="auto"/>
          <w:sz w:val="20"/>
          <w:szCs w:val="20"/>
        </w:rPr>
      </w:pPr>
      <w:r w:rsidRPr="00143316">
        <w:rPr>
          <w:b/>
          <w:bCs/>
          <w:color w:val="auto"/>
          <w:sz w:val="20"/>
          <w:szCs w:val="20"/>
        </w:rPr>
        <w:t>MADDE 12</w:t>
      </w:r>
      <w:r w:rsidRPr="00143316">
        <w:rPr>
          <w:color w:val="auto"/>
          <w:sz w:val="20"/>
          <w:szCs w:val="20"/>
        </w:rPr>
        <w:t xml:space="preserve">- Bu yönergede hüküm bulunmayan hallerde 2547 sayılı Yükseköğretim Kanunu, Kırıkkale Üniversitesi </w:t>
      </w:r>
      <w:proofErr w:type="spellStart"/>
      <w:r w:rsidRPr="00143316">
        <w:rPr>
          <w:color w:val="auto"/>
          <w:sz w:val="20"/>
          <w:szCs w:val="20"/>
        </w:rPr>
        <w:t>Önlisans</w:t>
      </w:r>
      <w:proofErr w:type="spellEnd"/>
      <w:r w:rsidRPr="00143316">
        <w:rPr>
          <w:color w:val="auto"/>
          <w:sz w:val="20"/>
          <w:szCs w:val="20"/>
        </w:rPr>
        <w:t xml:space="preserve"> ve Lisans Eğitim-Öğretim ve Sınav Yönetmeliği ve ilgili diğer mevzuat hükümleri uygulanır.</w:t>
      </w:r>
    </w:p>
    <w:p w:rsidR="00DF24EE" w:rsidRPr="00143316" w:rsidRDefault="00DF24EE" w:rsidP="00DF24EE">
      <w:pPr>
        <w:pStyle w:val="Default"/>
        <w:jc w:val="both"/>
        <w:rPr>
          <w:color w:val="auto"/>
          <w:sz w:val="20"/>
          <w:szCs w:val="20"/>
        </w:rPr>
      </w:pPr>
      <w:r w:rsidRPr="00143316">
        <w:rPr>
          <w:b/>
          <w:bCs/>
          <w:color w:val="auto"/>
          <w:sz w:val="20"/>
          <w:szCs w:val="20"/>
        </w:rPr>
        <w:t>Yürürlük</w:t>
      </w:r>
    </w:p>
    <w:p w:rsidR="00DF24EE" w:rsidRPr="00143316" w:rsidRDefault="00DF24EE" w:rsidP="00DF24EE">
      <w:pPr>
        <w:pStyle w:val="Default"/>
        <w:jc w:val="both"/>
        <w:rPr>
          <w:color w:val="auto"/>
          <w:sz w:val="20"/>
          <w:szCs w:val="20"/>
        </w:rPr>
      </w:pPr>
      <w:r w:rsidRPr="00143316">
        <w:rPr>
          <w:b/>
          <w:bCs/>
          <w:color w:val="auto"/>
          <w:sz w:val="20"/>
          <w:szCs w:val="20"/>
        </w:rPr>
        <w:t xml:space="preserve">MADDE 13- </w:t>
      </w:r>
      <w:r w:rsidRPr="00143316">
        <w:rPr>
          <w:color w:val="auto"/>
          <w:sz w:val="20"/>
          <w:szCs w:val="20"/>
        </w:rPr>
        <w:t>Bu Yönerge yayımı tarihinde yürürlüğe girer.</w:t>
      </w:r>
    </w:p>
    <w:p w:rsidR="00DF24EE" w:rsidRPr="00143316" w:rsidRDefault="00DF24EE" w:rsidP="00DF24EE">
      <w:pPr>
        <w:pStyle w:val="Default"/>
        <w:jc w:val="both"/>
        <w:rPr>
          <w:color w:val="auto"/>
          <w:sz w:val="20"/>
          <w:szCs w:val="20"/>
        </w:rPr>
      </w:pPr>
      <w:r w:rsidRPr="00143316">
        <w:rPr>
          <w:b/>
          <w:bCs/>
          <w:color w:val="auto"/>
          <w:sz w:val="20"/>
          <w:szCs w:val="20"/>
        </w:rPr>
        <w:t>Yürütme</w:t>
      </w:r>
    </w:p>
    <w:p w:rsidR="00DF24EE" w:rsidRPr="00143316" w:rsidRDefault="00DF24EE" w:rsidP="00DF24EE">
      <w:pPr>
        <w:pStyle w:val="Default"/>
        <w:jc w:val="both"/>
        <w:rPr>
          <w:rFonts w:ascii="Calibri" w:hAnsi="Calibri" w:cs="Calibri"/>
          <w:color w:val="auto"/>
          <w:sz w:val="20"/>
          <w:szCs w:val="20"/>
        </w:rPr>
      </w:pPr>
      <w:r w:rsidRPr="00143316">
        <w:rPr>
          <w:b/>
          <w:bCs/>
          <w:color w:val="auto"/>
          <w:sz w:val="20"/>
          <w:szCs w:val="20"/>
        </w:rPr>
        <w:t xml:space="preserve">MADDE 14- </w:t>
      </w:r>
      <w:r w:rsidRPr="00143316">
        <w:rPr>
          <w:color w:val="auto"/>
          <w:sz w:val="20"/>
          <w:szCs w:val="20"/>
        </w:rPr>
        <w:t xml:space="preserve">Bu Yönerge Rektör tarafından yürütülür. </w:t>
      </w:r>
    </w:p>
    <w:p w:rsidR="00DF24EE" w:rsidRPr="00143316" w:rsidRDefault="00DF24EE" w:rsidP="00DF24EE">
      <w:pPr>
        <w:pStyle w:val="Default"/>
        <w:jc w:val="both"/>
        <w:rPr>
          <w:rFonts w:ascii="Calibri" w:hAnsi="Calibri" w:cs="Calibri"/>
          <w:color w:val="auto"/>
          <w:sz w:val="20"/>
          <w:szCs w:val="20"/>
        </w:rPr>
      </w:pPr>
    </w:p>
    <w:p w:rsidR="00DF24EE" w:rsidRPr="00143316" w:rsidRDefault="00DF24EE" w:rsidP="00DF24EE">
      <w:pPr>
        <w:pStyle w:val="Default"/>
        <w:jc w:val="both"/>
        <w:rPr>
          <w:color w:val="auto"/>
          <w:sz w:val="20"/>
          <w:szCs w:val="20"/>
        </w:rPr>
      </w:pPr>
      <w:r w:rsidRPr="00143316">
        <w:rPr>
          <w:color w:val="auto"/>
          <w:sz w:val="20"/>
          <w:szCs w:val="20"/>
        </w:rPr>
        <w:t>Tablo:1</w:t>
      </w:r>
    </w:p>
    <w:p w:rsidR="00DF24EE" w:rsidRPr="00143316" w:rsidRDefault="00DF24EE" w:rsidP="00DF24EE">
      <w:pPr>
        <w:tabs>
          <w:tab w:val="left" w:pos="566"/>
        </w:tabs>
        <w:spacing w:line="240" w:lineRule="exact"/>
        <w:ind w:firstLine="566"/>
        <w:jc w:val="both"/>
        <w:rPr>
          <w:rFonts w:eastAsia="ヒラギノ明朝 Pro W3"/>
          <w:sz w:val="20"/>
          <w:szCs w:val="20"/>
        </w:rPr>
      </w:pPr>
      <w:r w:rsidRPr="00143316">
        <w:rPr>
          <w:rFonts w:eastAsia="ヒラギノ明朝 Pro W3"/>
          <w:sz w:val="20"/>
          <w:szCs w:val="20"/>
        </w:rPr>
        <w:t xml:space="preserve"> Harf notları ve katsayıları aşağıdaki şekildedir:</w:t>
      </w:r>
    </w:p>
    <w:p w:rsidR="00DF24EE" w:rsidRPr="00143316" w:rsidRDefault="00DF24EE" w:rsidP="00DF24EE">
      <w:pPr>
        <w:tabs>
          <w:tab w:val="left" w:pos="566"/>
          <w:tab w:val="center" w:pos="1255"/>
          <w:tab w:val="left" w:pos="2111"/>
          <w:tab w:val="left" w:pos="3143"/>
        </w:tabs>
        <w:spacing w:line="240" w:lineRule="exact"/>
        <w:ind w:firstLine="566"/>
        <w:jc w:val="both"/>
        <w:rPr>
          <w:rFonts w:eastAsia="ヒラギノ明朝 Pro W3"/>
          <w:sz w:val="20"/>
          <w:szCs w:val="20"/>
        </w:rPr>
      </w:pPr>
      <w:r w:rsidRPr="00143316">
        <w:rPr>
          <w:rFonts w:eastAsia="ヒラギノ明朝 Pro W3"/>
          <w:sz w:val="20"/>
          <w:szCs w:val="20"/>
        </w:rPr>
        <w:tab/>
      </w:r>
      <w:r w:rsidRPr="00143316">
        <w:rPr>
          <w:rFonts w:eastAsia="ヒラギノ明朝 Pro W3"/>
          <w:sz w:val="20"/>
          <w:szCs w:val="20"/>
          <w:u w:val="single"/>
        </w:rPr>
        <w:t>Başarı Notu</w:t>
      </w:r>
      <w:r w:rsidRPr="00143316">
        <w:rPr>
          <w:rFonts w:eastAsia="ヒラギノ明朝 Pro W3"/>
          <w:sz w:val="20"/>
          <w:szCs w:val="20"/>
        </w:rPr>
        <w:tab/>
      </w:r>
      <w:r w:rsidRPr="00143316">
        <w:rPr>
          <w:rFonts w:eastAsia="ヒラギノ明朝 Pro W3"/>
          <w:sz w:val="20"/>
          <w:szCs w:val="20"/>
          <w:u w:val="single"/>
        </w:rPr>
        <w:t>Katsayı</w:t>
      </w:r>
      <w:r w:rsidRPr="00143316">
        <w:rPr>
          <w:rFonts w:eastAsia="ヒラギノ明朝 Pro W3"/>
          <w:sz w:val="20"/>
          <w:szCs w:val="20"/>
        </w:rPr>
        <w:tab/>
      </w:r>
      <w:r w:rsidRPr="00143316">
        <w:rPr>
          <w:rFonts w:eastAsia="ヒラギノ明朝 Pro W3"/>
          <w:sz w:val="20"/>
          <w:szCs w:val="20"/>
          <w:u w:val="single"/>
        </w:rPr>
        <w:t>Puan</w:t>
      </w:r>
    </w:p>
    <w:p w:rsidR="00DF24EE" w:rsidRPr="00143316" w:rsidRDefault="00DF24EE" w:rsidP="00DF24EE">
      <w:pPr>
        <w:tabs>
          <w:tab w:val="left" w:pos="566"/>
          <w:tab w:val="center" w:pos="1255"/>
          <w:tab w:val="left" w:pos="2111"/>
          <w:tab w:val="left" w:pos="3143"/>
        </w:tabs>
        <w:spacing w:line="240" w:lineRule="exact"/>
        <w:ind w:firstLine="566"/>
        <w:jc w:val="both"/>
        <w:rPr>
          <w:rFonts w:eastAsia="ヒラギノ明朝 Pro W3"/>
          <w:sz w:val="20"/>
          <w:szCs w:val="20"/>
        </w:rPr>
      </w:pPr>
      <w:r w:rsidRPr="00143316">
        <w:rPr>
          <w:rFonts w:eastAsia="ヒラギノ明朝 Pro W3"/>
          <w:sz w:val="20"/>
          <w:szCs w:val="20"/>
        </w:rPr>
        <w:tab/>
        <w:t>AA</w:t>
      </w:r>
      <w:r w:rsidRPr="00143316">
        <w:rPr>
          <w:rFonts w:eastAsia="ヒラギノ明朝 Pro W3"/>
          <w:sz w:val="20"/>
          <w:szCs w:val="20"/>
        </w:rPr>
        <w:tab/>
        <w:t xml:space="preserve">4.00 </w:t>
      </w:r>
      <w:r w:rsidRPr="00143316">
        <w:rPr>
          <w:rFonts w:eastAsia="ヒラギノ明朝 Pro W3"/>
          <w:sz w:val="20"/>
          <w:szCs w:val="20"/>
        </w:rPr>
        <w:tab/>
        <w:t>88-100</w:t>
      </w:r>
      <w:r w:rsidRPr="00143316">
        <w:rPr>
          <w:rFonts w:eastAsia="ヒラギノ明朝 Pro W3"/>
          <w:sz w:val="20"/>
          <w:szCs w:val="20"/>
        </w:rPr>
        <w:tab/>
      </w:r>
    </w:p>
    <w:p w:rsidR="00DF24EE" w:rsidRPr="00143316" w:rsidRDefault="00DF24EE" w:rsidP="00DF24EE">
      <w:pPr>
        <w:tabs>
          <w:tab w:val="left" w:pos="566"/>
          <w:tab w:val="center" w:pos="1255"/>
          <w:tab w:val="left" w:pos="2111"/>
          <w:tab w:val="left" w:pos="3143"/>
        </w:tabs>
        <w:spacing w:line="240" w:lineRule="exact"/>
        <w:ind w:firstLine="566"/>
        <w:jc w:val="both"/>
        <w:rPr>
          <w:rFonts w:eastAsia="ヒラギノ明朝 Pro W3"/>
          <w:sz w:val="20"/>
          <w:szCs w:val="20"/>
        </w:rPr>
      </w:pPr>
      <w:r w:rsidRPr="00143316">
        <w:rPr>
          <w:rFonts w:eastAsia="ヒラギノ明朝 Pro W3"/>
          <w:sz w:val="20"/>
          <w:szCs w:val="20"/>
        </w:rPr>
        <w:tab/>
        <w:t>BA</w:t>
      </w:r>
      <w:r w:rsidRPr="00143316">
        <w:rPr>
          <w:rFonts w:eastAsia="ヒラギノ明朝 Pro W3"/>
          <w:sz w:val="20"/>
          <w:szCs w:val="20"/>
        </w:rPr>
        <w:tab/>
        <w:t xml:space="preserve">3.50 </w:t>
      </w:r>
      <w:r w:rsidRPr="00143316">
        <w:rPr>
          <w:rFonts w:eastAsia="ヒラギノ明朝 Pro W3"/>
          <w:sz w:val="20"/>
          <w:szCs w:val="20"/>
        </w:rPr>
        <w:tab/>
        <w:t>81-87</w:t>
      </w:r>
    </w:p>
    <w:p w:rsidR="00DF24EE" w:rsidRPr="00143316" w:rsidRDefault="00DF24EE" w:rsidP="00DF24EE">
      <w:pPr>
        <w:tabs>
          <w:tab w:val="left" w:pos="566"/>
          <w:tab w:val="center" w:pos="1255"/>
          <w:tab w:val="left" w:pos="2111"/>
          <w:tab w:val="left" w:pos="3143"/>
        </w:tabs>
        <w:spacing w:line="240" w:lineRule="exact"/>
        <w:ind w:firstLine="566"/>
        <w:jc w:val="both"/>
        <w:rPr>
          <w:rFonts w:eastAsia="ヒラギノ明朝 Pro W3"/>
          <w:sz w:val="20"/>
          <w:szCs w:val="20"/>
        </w:rPr>
      </w:pPr>
      <w:r w:rsidRPr="00143316">
        <w:rPr>
          <w:rFonts w:eastAsia="ヒラギノ明朝 Pro W3"/>
          <w:sz w:val="20"/>
          <w:szCs w:val="20"/>
        </w:rPr>
        <w:tab/>
        <w:t>BB</w:t>
      </w:r>
      <w:r w:rsidRPr="00143316">
        <w:rPr>
          <w:rFonts w:eastAsia="ヒラギノ明朝 Pro W3"/>
          <w:sz w:val="20"/>
          <w:szCs w:val="20"/>
        </w:rPr>
        <w:tab/>
        <w:t xml:space="preserve">3.00 </w:t>
      </w:r>
      <w:r w:rsidRPr="00143316">
        <w:rPr>
          <w:rFonts w:eastAsia="ヒラギノ明朝 Pro W3"/>
          <w:sz w:val="20"/>
          <w:szCs w:val="20"/>
        </w:rPr>
        <w:tab/>
        <w:t>74-80</w:t>
      </w:r>
      <w:r w:rsidRPr="00143316">
        <w:rPr>
          <w:rFonts w:eastAsia="ヒラギノ明朝 Pro W3"/>
          <w:sz w:val="20"/>
          <w:szCs w:val="20"/>
        </w:rPr>
        <w:tab/>
      </w:r>
    </w:p>
    <w:p w:rsidR="00DF24EE" w:rsidRPr="00143316" w:rsidRDefault="00DF24EE" w:rsidP="00DF24EE">
      <w:pPr>
        <w:tabs>
          <w:tab w:val="left" w:pos="566"/>
          <w:tab w:val="center" w:pos="1255"/>
          <w:tab w:val="left" w:pos="2111"/>
          <w:tab w:val="left" w:pos="3143"/>
        </w:tabs>
        <w:spacing w:line="240" w:lineRule="exact"/>
        <w:ind w:firstLine="566"/>
        <w:jc w:val="both"/>
        <w:rPr>
          <w:rFonts w:eastAsia="ヒラギノ明朝 Pro W3"/>
          <w:sz w:val="20"/>
          <w:szCs w:val="20"/>
        </w:rPr>
      </w:pPr>
      <w:r w:rsidRPr="00143316">
        <w:rPr>
          <w:rFonts w:eastAsia="ヒラギノ明朝 Pro W3"/>
          <w:sz w:val="20"/>
          <w:szCs w:val="20"/>
        </w:rPr>
        <w:tab/>
        <w:t>CB</w:t>
      </w:r>
      <w:r w:rsidRPr="00143316">
        <w:rPr>
          <w:rFonts w:eastAsia="ヒラギノ明朝 Pro W3"/>
          <w:sz w:val="20"/>
          <w:szCs w:val="20"/>
        </w:rPr>
        <w:tab/>
        <w:t xml:space="preserve">2.50 </w:t>
      </w:r>
      <w:r w:rsidRPr="00143316">
        <w:rPr>
          <w:rFonts w:eastAsia="ヒラギノ明朝 Pro W3"/>
          <w:sz w:val="20"/>
          <w:szCs w:val="20"/>
        </w:rPr>
        <w:tab/>
        <w:t>67-73</w:t>
      </w:r>
      <w:r w:rsidRPr="00143316">
        <w:rPr>
          <w:rFonts w:eastAsia="ヒラギノ明朝 Pro W3"/>
          <w:sz w:val="20"/>
          <w:szCs w:val="20"/>
        </w:rPr>
        <w:tab/>
      </w:r>
    </w:p>
    <w:p w:rsidR="00DF24EE" w:rsidRPr="00143316" w:rsidRDefault="00DF24EE" w:rsidP="00DF24EE">
      <w:pPr>
        <w:tabs>
          <w:tab w:val="left" w:pos="566"/>
          <w:tab w:val="center" w:pos="1255"/>
          <w:tab w:val="left" w:pos="2111"/>
          <w:tab w:val="left" w:pos="3143"/>
        </w:tabs>
        <w:spacing w:line="240" w:lineRule="exact"/>
        <w:ind w:firstLine="566"/>
        <w:jc w:val="both"/>
        <w:rPr>
          <w:rFonts w:eastAsia="ヒラギノ明朝 Pro W3"/>
          <w:sz w:val="20"/>
          <w:szCs w:val="20"/>
        </w:rPr>
      </w:pPr>
      <w:r w:rsidRPr="00143316">
        <w:rPr>
          <w:rFonts w:eastAsia="ヒラギノ明朝 Pro W3"/>
          <w:sz w:val="20"/>
          <w:szCs w:val="20"/>
        </w:rPr>
        <w:tab/>
        <w:t>CC</w:t>
      </w:r>
      <w:r w:rsidRPr="00143316">
        <w:rPr>
          <w:rFonts w:eastAsia="ヒラギノ明朝 Pro W3"/>
          <w:sz w:val="20"/>
          <w:szCs w:val="20"/>
        </w:rPr>
        <w:tab/>
        <w:t xml:space="preserve">2.00 </w:t>
      </w:r>
      <w:r w:rsidRPr="00143316">
        <w:rPr>
          <w:rFonts w:eastAsia="ヒラギノ明朝 Pro W3"/>
          <w:sz w:val="20"/>
          <w:szCs w:val="20"/>
        </w:rPr>
        <w:tab/>
        <w:t>60-66</w:t>
      </w:r>
    </w:p>
    <w:p w:rsidR="00DF24EE" w:rsidRPr="00143316" w:rsidRDefault="00DF24EE" w:rsidP="00DF24EE">
      <w:pPr>
        <w:tabs>
          <w:tab w:val="left" w:pos="566"/>
          <w:tab w:val="center" w:pos="1255"/>
          <w:tab w:val="left" w:pos="2111"/>
          <w:tab w:val="left" w:pos="3143"/>
        </w:tabs>
        <w:spacing w:line="240" w:lineRule="exact"/>
        <w:ind w:firstLine="566"/>
        <w:jc w:val="both"/>
        <w:rPr>
          <w:rFonts w:eastAsia="ヒラギノ明朝 Pro W3"/>
          <w:sz w:val="20"/>
          <w:szCs w:val="20"/>
        </w:rPr>
      </w:pPr>
      <w:r w:rsidRPr="00143316">
        <w:rPr>
          <w:rFonts w:eastAsia="ヒラギノ明朝 Pro W3"/>
          <w:sz w:val="20"/>
          <w:szCs w:val="20"/>
        </w:rPr>
        <w:tab/>
        <w:t>DC</w:t>
      </w:r>
      <w:r w:rsidRPr="00143316">
        <w:rPr>
          <w:rFonts w:eastAsia="ヒラギノ明朝 Pro W3"/>
          <w:sz w:val="20"/>
          <w:szCs w:val="20"/>
        </w:rPr>
        <w:tab/>
        <w:t xml:space="preserve">1.50 </w:t>
      </w:r>
      <w:r w:rsidRPr="00143316">
        <w:rPr>
          <w:rFonts w:eastAsia="ヒラギノ明朝 Pro W3"/>
          <w:sz w:val="20"/>
          <w:szCs w:val="20"/>
        </w:rPr>
        <w:tab/>
        <w:t>53-59</w:t>
      </w:r>
    </w:p>
    <w:p w:rsidR="00DF24EE" w:rsidRPr="00143316" w:rsidRDefault="00DF24EE" w:rsidP="00DF24EE">
      <w:pPr>
        <w:tabs>
          <w:tab w:val="left" w:pos="566"/>
          <w:tab w:val="center" w:pos="1255"/>
          <w:tab w:val="left" w:pos="2111"/>
          <w:tab w:val="left" w:pos="3143"/>
        </w:tabs>
        <w:spacing w:line="240" w:lineRule="exact"/>
        <w:ind w:firstLine="566"/>
        <w:jc w:val="both"/>
        <w:rPr>
          <w:rFonts w:eastAsia="ヒラギノ明朝 Pro W3"/>
          <w:sz w:val="20"/>
          <w:szCs w:val="20"/>
        </w:rPr>
      </w:pPr>
      <w:r w:rsidRPr="00143316">
        <w:rPr>
          <w:rFonts w:eastAsia="ヒラギノ明朝 Pro W3"/>
          <w:sz w:val="20"/>
          <w:szCs w:val="20"/>
        </w:rPr>
        <w:tab/>
        <w:t>DD</w:t>
      </w:r>
      <w:r w:rsidRPr="00143316">
        <w:rPr>
          <w:rFonts w:eastAsia="ヒラギノ明朝 Pro W3"/>
          <w:sz w:val="20"/>
          <w:szCs w:val="20"/>
        </w:rPr>
        <w:tab/>
        <w:t xml:space="preserve">1.00 </w:t>
      </w:r>
      <w:r w:rsidRPr="00143316">
        <w:rPr>
          <w:rFonts w:eastAsia="ヒラギノ明朝 Pro W3"/>
          <w:sz w:val="20"/>
          <w:szCs w:val="20"/>
        </w:rPr>
        <w:tab/>
        <w:t>46-52</w:t>
      </w:r>
    </w:p>
    <w:p w:rsidR="00DF24EE" w:rsidRPr="00143316" w:rsidRDefault="00DF24EE" w:rsidP="00DF24EE">
      <w:pPr>
        <w:tabs>
          <w:tab w:val="left" w:pos="566"/>
          <w:tab w:val="center" w:pos="1255"/>
          <w:tab w:val="left" w:pos="2111"/>
          <w:tab w:val="left" w:pos="3143"/>
        </w:tabs>
        <w:spacing w:line="240" w:lineRule="exact"/>
        <w:ind w:firstLine="566"/>
        <w:jc w:val="both"/>
        <w:rPr>
          <w:rFonts w:eastAsia="ヒラギノ明朝 Pro W3"/>
          <w:sz w:val="20"/>
          <w:szCs w:val="20"/>
        </w:rPr>
      </w:pPr>
      <w:r w:rsidRPr="00143316">
        <w:rPr>
          <w:rFonts w:eastAsia="ヒラギノ明朝 Pro W3"/>
          <w:sz w:val="20"/>
          <w:szCs w:val="20"/>
        </w:rPr>
        <w:tab/>
        <w:t>FD</w:t>
      </w:r>
      <w:r w:rsidRPr="00143316">
        <w:rPr>
          <w:rFonts w:eastAsia="ヒラギノ明朝 Pro W3"/>
          <w:sz w:val="20"/>
          <w:szCs w:val="20"/>
        </w:rPr>
        <w:tab/>
        <w:t xml:space="preserve">0.50 </w:t>
      </w:r>
      <w:r w:rsidRPr="00143316">
        <w:rPr>
          <w:rFonts w:eastAsia="ヒラギノ明朝 Pro W3"/>
          <w:sz w:val="20"/>
          <w:szCs w:val="20"/>
        </w:rPr>
        <w:tab/>
        <w:t>39-45</w:t>
      </w:r>
      <w:r w:rsidRPr="00143316">
        <w:rPr>
          <w:rFonts w:eastAsia="ヒラギノ明朝 Pro W3"/>
          <w:sz w:val="20"/>
          <w:szCs w:val="20"/>
        </w:rPr>
        <w:tab/>
      </w:r>
    </w:p>
    <w:p w:rsidR="00DF24EE" w:rsidRPr="00143316" w:rsidRDefault="00DF24EE" w:rsidP="00DF24EE">
      <w:pPr>
        <w:tabs>
          <w:tab w:val="left" w:pos="566"/>
          <w:tab w:val="center" w:pos="1255"/>
          <w:tab w:val="left" w:pos="2111"/>
          <w:tab w:val="left" w:pos="3143"/>
        </w:tabs>
        <w:spacing w:line="240" w:lineRule="exact"/>
        <w:ind w:firstLine="566"/>
        <w:jc w:val="both"/>
        <w:rPr>
          <w:rFonts w:eastAsia="ヒラギノ明朝 Pro W3"/>
          <w:sz w:val="20"/>
          <w:szCs w:val="20"/>
        </w:rPr>
      </w:pPr>
      <w:r w:rsidRPr="00143316">
        <w:rPr>
          <w:rFonts w:eastAsia="ヒラギノ明朝 Pro W3"/>
          <w:sz w:val="20"/>
          <w:szCs w:val="20"/>
        </w:rPr>
        <w:tab/>
        <w:t>FF</w:t>
      </w:r>
      <w:r w:rsidRPr="00143316">
        <w:rPr>
          <w:rFonts w:eastAsia="ヒラギノ明朝 Pro W3"/>
          <w:sz w:val="20"/>
          <w:szCs w:val="20"/>
        </w:rPr>
        <w:tab/>
        <w:t xml:space="preserve">0.00 </w:t>
      </w:r>
      <w:r w:rsidRPr="00143316">
        <w:rPr>
          <w:rFonts w:eastAsia="ヒラギノ明朝 Pro W3"/>
          <w:sz w:val="20"/>
          <w:szCs w:val="20"/>
        </w:rPr>
        <w:tab/>
        <w:t>0-38</w:t>
      </w:r>
      <w:r w:rsidRPr="00143316">
        <w:rPr>
          <w:rFonts w:eastAsia="ヒラギノ明朝 Pro W3"/>
          <w:sz w:val="20"/>
          <w:szCs w:val="20"/>
        </w:rPr>
        <w:tab/>
      </w:r>
    </w:p>
    <w:p w:rsidR="00DA0D30" w:rsidRPr="00143316" w:rsidRDefault="00DA0D30">
      <w:pPr>
        <w:rPr>
          <w:sz w:val="20"/>
          <w:szCs w:val="20"/>
        </w:rPr>
      </w:pPr>
    </w:p>
    <w:p w:rsidR="00552743" w:rsidRPr="00143316" w:rsidRDefault="00552743" w:rsidP="009A26EA">
      <w:pPr>
        <w:pStyle w:val="Default"/>
        <w:jc w:val="both"/>
        <w:rPr>
          <w:sz w:val="20"/>
          <w:szCs w:val="20"/>
        </w:rPr>
      </w:pPr>
      <w:r w:rsidRPr="00143316">
        <w:rPr>
          <w:color w:val="auto"/>
          <w:sz w:val="20"/>
          <w:szCs w:val="20"/>
        </w:rPr>
        <w:t xml:space="preserve">Diş Hekimliği ve Tıp Fakülteleri kendi yönetmeliklerinde belirtilen tabloyu kullanacaktır. </w:t>
      </w:r>
    </w:p>
    <w:sectPr w:rsidR="00552743" w:rsidRPr="00143316" w:rsidSect="002F6A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Arial Unicode MS"/>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501F"/>
    <w:multiLevelType w:val="hybridMultilevel"/>
    <w:tmpl w:val="1AAA30D8"/>
    <w:lvl w:ilvl="0" w:tplc="B9B6F4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30987"/>
    <w:rsid w:val="00143316"/>
    <w:rsid w:val="00201E50"/>
    <w:rsid w:val="00245B3C"/>
    <w:rsid w:val="00260CAE"/>
    <w:rsid w:val="002D347B"/>
    <w:rsid w:val="002F6AD4"/>
    <w:rsid w:val="00335DA6"/>
    <w:rsid w:val="00372DF3"/>
    <w:rsid w:val="00381501"/>
    <w:rsid w:val="00441AF6"/>
    <w:rsid w:val="004B6341"/>
    <w:rsid w:val="00530987"/>
    <w:rsid w:val="00544393"/>
    <w:rsid w:val="005443A4"/>
    <w:rsid w:val="00552743"/>
    <w:rsid w:val="005841E9"/>
    <w:rsid w:val="0072266A"/>
    <w:rsid w:val="007F2A87"/>
    <w:rsid w:val="008F2B02"/>
    <w:rsid w:val="0097644C"/>
    <w:rsid w:val="009803EB"/>
    <w:rsid w:val="00983899"/>
    <w:rsid w:val="009A26EA"/>
    <w:rsid w:val="00AC3936"/>
    <w:rsid w:val="00BA761D"/>
    <w:rsid w:val="00C12D66"/>
    <w:rsid w:val="00CE0B3E"/>
    <w:rsid w:val="00DA0D30"/>
    <w:rsid w:val="00DF087F"/>
    <w:rsid w:val="00DF24EE"/>
    <w:rsid w:val="00E8058B"/>
    <w:rsid w:val="00EA37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24E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F24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D658D-68B7-4A09-8F0C-86B83B95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1635</Words>
  <Characters>9321</Characters>
  <Application>Microsoft Office Word</Application>
  <DocSecurity>0</DocSecurity>
  <Lines>77</Lines>
  <Paragraphs>21</Paragraphs>
  <ScaleCrop>false</ScaleCrop>
  <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dc:creator>
  <cp:lastModifiedBy>user</cp:lastModifiedBy>
  <cp:revision>2</cp:revision>
  <dcterms:created xsi:type="dcterms:W3CDTF">2017-07-08T12:07:00Z</dcterms:created>
  <dcterms:modified xsi:type="dcterms:W3CDTF">2017-07-08T12:07:00Z</dcterms:modified>
</cp:coreProperties>
</file>