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E9" w:rsidRDefault="008A47E9" w:rsidP="008A47E9">
      <w:pPr>
        <w:jc w:val="center"/>
        <w:rPr>
          <w:rFonts w:ascii="Times New Roman" w:hAnsi="Times New Roman" w:cs="Times New Roman"/>
          <w:b/>
          <w:bCs/>
          <w:sz w:val="28"/>
          <w:szCs w:val="28"/>
          <w:lang w:val="tr-TR"/>
        </w:rPr>
      </w:pPr>
      <w:bookmarkStart w:id="0" w:name="_GoBack"/>
      <w:bookmarkEnd w:id="0"/>
      <w:r w:rsidRPr="008A47E9">
        <w:rPr>
          <w:rFonts w:ascii="Times New Roman" w:hAnsi="Times New Roman" w:cs="Times New Roman"/>
          <w:b/>
          <w:bCs/>
          <w:sz w:val="28"/>
          <w:szCs w:val="28"/>
          <w:lang w:val="tr-TR"/>
        </w:rPr>
        <w:t>ETİK DAVRANIŞ İLKELERİ</w:t>
      </w:r>
    </w:p>
    <w:p w:rsidR="008A47E9" w:rsidRPr="008A47E9" w:rsidRDefault="008A47E9" w:rsidP="008A47E9">
      <w:pPr>
        <w:jc w:val="center"/>
        <w:rPr>
          <w:rFonts w:ascii="Times New Roman" w:hAnsi="Times New Roman" w:cs="Times New Roman"/>
          <w:b/>
          <w:bCs/>
          <w:sz w:val="28"/>
          <w:szCs w:val="28"/>
          <w:lang w:val="tr-TR"/>
        </w:rPr>
      </w:pPr>
    </w:p>
    <w:p w:rsidR="008A47E9" w:rsidRPr="008A47E9" w:rsidRDefault="008A47E9" w:rsidP="008A47E9">
      <w:pPr>
        <w:jc w:val="center"/>
        <w:rPr>
          <w:rFonts w:ascii="Times New Roman" w:hAnsi="Times New Roman" w:cs="Times New Roman"/>
          <w:sz w:val="24"/>
          <w:szCs w:val="24"/>
          <w:lang w:val="tr-TR"/>
        </w:rPr>
      </w:pPr>
      <w:r w:rsidRPr="008A47E9">
        <w:rPr>
          <w:rFonts w:ascii="Times New Roman" w:hAnsi="Times New Roman" w:cs="Times New Roman"/>
          <w:b/>
          <w:bCs/>
          <w:sz w:val="24"/>
          <w:szCs w:val="24"/>
          <w:lang w:val="tr-TR"/>
        </w:rPr>
        <w:t>Görevin yerine getirilmesinde kamu hizmeti bilinci:</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8A47E9">
        <w:rPr>
          <w:rFonts w:ascii="Times New Roman" w:hAnsi="Times New Roman" w:cs="Times New Roman"/>
          <w:sz w:val="24"/>
          <w:szCs w:val="24"/>
          <w:lang w:val="tr-TR"/>
        </w:rPr>
        <w:t>yerindenliği</w:t>
      </w:r>
      <w:proofErr w:type="spellEnd"/>
      <w:r w:rsidRPr="008A47E9">
        <w:rPr>
          <w:rFonts w:ascii="Times New Roman" w:hAnsi="Times New Roman" w:cs="Times New Roman"/>
          <w:sz w:val="24"/>
          <w:szCs w:val="24"/>
          <w:lang w:val="tr-TR"/>
        </w:rPr>
        <w:t xml:space="preserve"> ve beyana güveni esas alırlar.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Halka hizmet bilinci:</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Hizmet standartlarına uyma:</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 xml:space="preserve">Amaç ve </w:t>
      </w:r>
      <w:proofErr w:type="gramStart"/>
      <w:r w:rsidRPr="008A47E9">
        <w:rPr>
          <w:rFonts w:ascii="Times New Roman" w:hAnsi="Times New Roman" w:cs="Times New Roman"/>
          <w:b/>
          <w:bCs/>
          <w:sz w:val="24"/>
          <w:szCs w:val="24"/>
          <w:lang w:val="tr-TR"/>
        </w:rPr>
        <w:t>misyona</w:t>
      </w:r>
      <w:proofErr w:type="gramEnd"/>
      <w:r w:rsidRPr="008A47E9">
        <w:rPr>
          <w:rFonts w:ascii="Times New Roman" w:hAnsi="Times New Roman" w:cs="Times New Roman"/>
          <w:b/>
          <w:bCs/>
          <w:sz w:val="24"/>
          <w:szCs w:val="24"/>
          <w:lang w:val="tr-TR"/>
        </w:rPr>
        <w:t xml:space="preserve"> bağlılık:</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Kamu görevlileri, çalıştıkları kurum veya kuruluşun amaçlarına ve </w:t>
      </w:r>
      <w:proofErr w:type="gramStart"/>
      <w:r w:rsidRPr="008A47E9">
        <w:rPr>
          <w:rFonts w:ascii="Times New Roman" w:hAnsi="Times New Roman" w:cs="Times New Roman"/>
          <w:sz w:val="24"/>
          <w:szCs w:val="24"/>
          <w:lang w:val="tr-TR"/>
        </w:rPr>
        <w:t>misyonuna</w:t>
      </w:r>
      <w:proofErr w:type="gramEnd"/>
      <w:r w:rsidRPr="008A47E9">
        <w:rPr>
          <w:rFonts w:ascii="Times New Roman" w:hAnsi="Times New Roman" w:cs="Times New Roman"/>
          <w:sz w:val="24"/>
          <w:szCs w:val="24"/>
          <w:lang w:val="tr-TR"/>
        </w:rPr>
        <w:t xml:space="preserve"> uygun </w:t>
      </w:r>
      <w:proofErr w:type="gramStart"/>
      <w:r w:rsidRPr="008A47E9">
        <w:rPr>
          <w:rFonts w:ascii="Times New Roman" w:hAnsi="Times New Roman" w:cs="Times New Roman"/>
          <w:sz w:val="24"/>
          <w:szCs w:val="24"/>
          <w:lang w:val="tr-TR"/>
        </w:rPr>
        <w:t>davranırlar</w:t>
      </w:r>
      <w:proofErr w:type="gramEnd"/>
      <w:r w:rsidRPr="008A47E9">
        <w:rPr>
          <w:rFonts w:ascii="Times New Roman" w:hAnsi="Times New Roman" w:cs="Times New Roman"/>
          <w:sz w:val="24"/>
          <w:szCs w:val="24"/>
          <w:lang w:val="tr-TR"/>
        </w:rPr>
        <w:t>. Ülkenin çıkarları, toplumun refahı ve kurumlarının hizmet idealleri doğrultusunda hareket ederler.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Dürüstlük ve tarafsızlık:</w:t>
      </w:r>
    </w:p>
    <w:p w:rsidR="008A47E9" w:rsidRPr="008A47E9" w:rsidRDefault="008A47E9" w:rsidP="008A47E9">
      <w:pPr>
        <w:jc w:val="both"/>
        <w:rPr>
          <w:rFonts w:ascii="Times New Roman" w:hAnsi="Times New Roman" w:cs="Times New Roman"/>
          <w:sz w:val="24"/>
          <w:szCs w:val="24"/>
          <w:lang w:val="tr-TR"/>
        </w:rPr>
      </w:pPr>
      <w:proofErr w:type="gramStart"/>
      <w:r w:rsidRPr="008A47E9">
        <w:rPr>
          <w:rFonts w:ascii="Times New Roman" w:hAnsi="Times New Roman" w:cs="Times New Roman"/>
          <w:sz w:val="24"/>
          <w:szCs w:val="24"/>
          <w:lang w:val="tr-TR"/>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takdir yetkilerini, kamu yararı ve hizmet gerekleri doğrultusunda, her türlü keyfilikten uzak, tarafsızlık ve eşitlik ilkelerine uygun olarak kullanırlar.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Saygınlık ve güven:</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lastRenderedPageBreak/>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8A47E9">
        <w:rPr>
          <w:rFonts w:ascii="Times New Roman" w:hAnsi="Times New Roman" w:cs="Times New Roman"/>
          <w:sz w:val="24"/>
          <w:szCs w:val="24"/>
          <w:lang w:val="tr-TR"/>
        </w:rPr>
        <w:t>imkan</w:t>
      </w:r>
      <w:proofErr w:type="gramEnd"/>
      <w:r w:rsidRPr="008A47E9">
        <w:rPr>
          <w:rFonts w:ascii="Times New Roman" w:hAnsi="Times New Roman" w:cs="Times New Roman"/>
          <w:sz w:val="24"/>
          <w:szCs w:val="24"/>
          <w:lang w:val="tr-TR"/>
        </w:rPr>
        <w:t xml:space="preserve"> veya benzeri çıkarlar talep edemez ve talep olmasa dahi sunulanı kabul edemezler.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Nezaket ve saygı:</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üstleri, meslektaşları, astları, diğer personel ile hizmetten yararlananlara karşı nazik ve saygılı davranırlar ve gerekli ilgiyi gösterirler, konu yetkilerinin dışındaysa ilgili birime veya yetkiliye yönlendirirler.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Yetkili makamlara bildirim:</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Kurum ve kuruluş amirleri, ihbarda bulunan kamu görevlilerinin kimliğini gizli tutar ve kendilerine herhangi bir zarar gelmemesi için gerekli tedbirleri alırlar.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Çıkar çatışmasından kaçınma:</w:t>
      </w:r>
    </w:p>
    <w:p w:rsidR="008A47E9" w:rsidRPr="008A47E9" w:rsidRDefault="008A47E9" w:rsidP="008A47E9">
      <w:pPr>
        <w:jc w:val="both"/>
        <w:rPr>
          <w:rFonts w:ascii="Times New Roman" w:hAnsi="Times New Roman" w:cs="Times New Roman"/>
          <w:sz w:val="24"/>
          <w:szCs w:val="24"/>
          <w:lang w:val="tr-TR"/>
        </w:rPr>
      </w:pPr>
      <w:proofErr w:type="gramStart"/>
      <w:r w:rsidRPr="008A47E9">
        <w:rPr>
          <w:rFonts w:ascii="Times New Roman" w:hAnsi="Times New Roman" w:cs="Times New Roman"/>
          <w:sz w:val="24"/>
          <w:szCs w:val="24"/>
          <w:lang w:val="tr-TR"/>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8A47E9" w:rsidRPr="008A47E9" w:rsidRDefault="008A47E9" w:rsidP="008A47E9">
      <w:pPr>
        <w:jc w:val="both"/>
        <w:rPr>
          <w:rFonts w:ascii="Times New Roman" w:hAnsi="Times New Roman" w:cs="Times New Roman"/>
          <w:sz w:val="24"/>
          <w:szCs w:val="24"/>
          <w:lang w:val="tr-TR"/>
        </w:rPr>
      </w:pPr>
      <w:proofErr w:type="gramStart"/>
      <w:r w:rsidRPr="008A47E9">
        <w:rPr>
          <w:rFonts w:ascii="Times New Roman" w:hAnsi="Times New Roman" w:cs="Times New Roman"/>
          <w:sz w:val="24"/>
          <w:szCs w:val="24"/>
          <w:lang w:val="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Görev ve yetkilerin menfaat sağlamak amacıyla kullanılmaması:</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Kamu görevlileri; görev, unvan ve yetkilerini kullanarak kendileri, yakınları veya üçüncü kişiler lehine menfaat sağlayamaz ve aracılıkta bulunamazlar, akraba, eş, dost ve </w:t>
      </w:r>
      <w:proofErr w:type="spellStart"/>
      <w:r w:rsidRPr="008A47E9">
        <w:rPr>
          <w:rFonts w:ascii="Times New Roman" w:hAnsi="Times New Roman" w:cs="Times New Roman"/>
          <w:sz w:val="24"/>
          <w:szCs w:val="24"/>
          <w:lang w:val="tr-TR"/>
        </w:rPr>
        <w:t>hemşehri</w:t>
      </w:r>
      <w:proofErr w:type="spellEnd"/>
      <w:r w:rsidRPr="008A47E9">
        <w:rPr>
          <w:rFonts w:ascii="Times New Roman" w:hAnsi="Times New Roman" w:cs="Times New Roman"/>
          <w:sz w:val="24"/>
          <w:szCs w:val="24"/>
          <w:lang w:val="tr-TR"/>
        </w:rPr>
        <w:t xml:space="preserve"> kayırmacılığı, siyasal kayırmacılık veya herhangi bir nedenle ayrımcılık veya kayırmacılık yapamazlar.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8A47E9" w:rsidRPr="008A47E9" w:rsidRDefault="008A47E9" w:rsidP="008A47E9">
      <w:pPr>
        <w:jc w:val="both"/>
        <w:rPr>
          <w:rFonts w:ascii="Times New Roman" w:hAnsi="Times New Roman" w:cs="Times New Roman"/>
          <w:sz w:val="24"/>
          <w:szCs w:val="24"/>
          <w:lang w:val="tr-TR"/>
        </w:rPr>
      </w:pPr>
      <w:proofErr w:type="gramStart"/>
      <w:r w:rsidRPr="008A47E9">
        <w:rPr>
          <w:rFonts w:ascii="Times New Roman" w:hAnsi="Times New Roman" w:cs="Times New Roman"/>
          <w:sz w:val="24"/>
          <w:szCs w:val="24"/>
          <w:lang w:val="tr-TR"/>
        </w:rPr>
        <w:t xml:space="preserve">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w:t>
      </w:r>
      <w:r w:rsidRPr="008A47E9">
        <w:rPr>
          <w:rFonts w:ascii="Times New Roman" w:hAnsi="Times New Roman" w:cs="Times New Roman"/>
          <w:sz w:val="24"/>
          <w:szCs w:val="24"/>
          <w:lang w:val="tr-TR"/>
        </w:rPr>
        <w:lastRenderedPageBreak/>
        <w:t>kullanamazlar, görevdeyken ve görevden ayrıldıktan sonra yetkili makamlar dışında hiçbir kurum, kuruluş veya kişiye açıklayamazlar.</w:t>
      </w:r>
      <w:proofErr w:type="gramEnd"/>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seçim kampanyalarında görev yaptığı kurumun kaynaklarını doğrudan veya dolaylı olarak kullanamaz ve kullandıramazlar.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Hediye alma ve menfaat sağlama yasağı:</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görevlilerinin hediye almaması, kamu görevlisine hediye verilmemesi ve görev sebebiyle çıkar sağlanmaması temel ilkedir.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Uluslararası ilişkilerde nezaket ve protokol kuralları gereğince, yabancı kişi ve kuruluşlar tarafından verilen hediyelerden, 3628 sayılı Kanunun 3. maddesi hükümleri saklı kalmakla birlikte, </w:t>
      </w:r>
      <w:proofErr w:type="spellStart"/>
      <w:r w:rsidRPr="008A47E9">
        <w:rPr>
          <w:rFonts w:ascii="Times New Roman" w:hAnsi="Times New Roman" w:cs="Times New Roman"/>
          <w:sz w:val="24"/>
          <w:szCs w:val="24"/>
          <w:lang w:val="tr-TR"/>
        </w:rPr>
        <w:t>sözkonusu</w:t>
      </w:r>
      <w:proofErr w:type="spellEnd"/>
      <w:r w:rsidRPr="008A47E9">
        <w:rPr>
          <w:rFonts w:ascii="Times New Roman" w:hAnsi="Times New Roman" w:cs="Times New Roman"/>
          <w:sz w:val="24"/>
          <w:szCs w:val="24"/>
          <w:lang w:val="tr-TR"/>
        </w:rPr>
        <w:t xml:space="preserve"> maddede belirtilen sınırın altında kalanlar da beyan edilir.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Aşağıda belirtilenler hediye alma yasağı kapsamı dışındadır: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b) Kitap, dergi, makale, kaset, takvim, cd veya buna benzer nitelikte olanlar,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c) Halka açık yarışmalarda, kampanyalarda veya etkinliklerde kazanılan ödül veya hediyeler,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d) Herkese açık konferans, </w:t>
      </w:r>
      <w:proofErr w:type="gramStart"/>
      <w:r w:rsidRPr="008A47E9">
        <w:rPr>
          <w:rFonts w:ascii="Times New Roman" w:hAnsi="Times New Roman" w:cs="Times New Roman"/>
          <w:sz w:val="24"/>
          <w:szCs w:val="24"/>
          <w:lang w:val="tr-TR"/>
        </w:rPr>
        <w:t>sempozyum</w:t>
      </w:r>
      <w:proofErr w:type="gramEnd"/>
      <w:r w:rsidRPr="008A47E9">
        <w:rPr>
          <w:rFonts w:ascii="Times New Roman" w:hAnsi="Times New Roman" w:cs="Times New Roman"/>
          <w:sz w:val="24"/>
          <w:szCs w:val="24"/>
          <w:lang w:val="tr-TR"/>
        </w:rPr>
        <w:t>, forum, panel, yemek, resepsiyon veya buna benzer etkinliklerde verilen hatıra niteliğindeki hediyeler,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e) Tanıtım amacına yönelik, herkese dağıtılan ve sembolik değeri bulunan reklam ve el sanatları ürünleri,</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f) Finans kurumlarından piyasa koşullarına göre alınan krediler.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Aşağıda belirtilenler ise hediye alma yasağı kapsamındadır: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a) Görev yapılan kurumla iş, hizmet veya çıkar ilişkisi içinde bulunanlardan alınan karşılama, veda ve kutlama hediyeleri, burs, seyahat, ücretsiz konaklama ve hediye çekleri,</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b) Taşınır veya taşınmaz mal veya hizmet satın alırken, satarken veya kiralarken piyasa fiyatına göre makul olmayan bedeller üzerinden yapılan işlemler,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lastRenderedPageBreak/>
        <w:t>c) Hizmetten yararlananların vereceği her türlü eşya, giysi, takı veya gıda türü hediyeler,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d) Görev yapılan kurumla iş veya hizmet ilişkisi içinde olanlardan alınan borç ve krediler.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Bu Yönetmelik kapsamına giren en az genel müdür, eşiti ve üstü görevliler, bu maddenin 5 inci fıkrası ve 6 </w:t>
      </w:r>
      <w:proofErr w:type="spellStart"/>
      <w:r w:rsidRPr="008A47E9">
        <w:rPr>
          <w:rFonts w:ascii="Times New Roman" w:hAnsi="Times New Roman" w:cs="Times New Roman"/>
          <w:sz w:val="24"/>
          <w:szCs w:val="24"/>
          <w:lang w:val="tr-TR"/>
        </w:rPr>
        <w:t>ncı</w:t>
      </w:r>
      <w:proofErr w:type="spellEnd"/>
      <w:r w:rsidRPr="008A47E9">
        <w:rPr>
          <w:rFonts w:ascii="Times New Roman" w:hAnsi="Times New Roman" w:cs="Times New Roman"/>
          <w:sz w:val="24"/>
          <w:szCs w:val="24"/>
          <w:lang w:val="tr-TR"/>
        </w:rPr>
        <w:t xml:space="preserve"> fıkranın (a) bendinde sayılan hediyelere ilişkin bir önceki yılda aldıklarının listesini, herhangi bir uyarı beklemeksizin her yıl Ocak ayı sonuna kadar Kurula bildirirler.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Kamu malları ve kaynaklarının kullanımı:</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Savurganlıktan kaçınma:</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Kamu görevlileri, kamu bina ve taşıtları ile diğer kamu malları ve kaynaklarının kullanımında israf ve savurganlıktan kaçınır; mesai süresini, kamu mallarını, kaynaklarını, işgücünü ve </w:t>
      </w:r>
      <w:proofErr w:type="gramStart"/>
      <w:r w:rsidRPr="008A47E9">
        <w:rPr>
          <w:rFonts w:ascii="Times New Roman" w:hAnsi="Times New Roman" w:cs="Times New Roman"/>
          <w:sz w:val="24"/>
          <w:szCs w:val="24"/>
          <w:lang w:val="tr-TR"/>
        </w:rPr>
        <w:t>imkanlarını</w:t>
      </w:r>
      <w:proofErr w:type="gramEnd"/>
      <w:r w:rsidRPr="008A47E9">
        <w:rPr>
          <w:rFonts w:ascii="Times New Roman" w:hAnsi="Times New Roman" w:cs="Times New Roman"/>
          <w:sz w:val="24"/>
          <w:szCs w:val="24"/>
          <w:lang w:val="tr-TR"/>
        </w:rPr>
        <w:t xml:space="preserve"> kullanırken etkin, verimli ve tutumlu davranırlar.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Bağlayıcı açıklamalar ve gerçek dışı beyan:</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görevlerini yerine getirirken yetkilerini aşarak çalıştıkları kurumlarını bağlayıcı açıklama, taahhüt, vaat veya girişimlerde bulunamazlar, aldatıcı ve gerçek dışı beyanat veremezler.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Bilgi verme, saydamlık ve katılımcılık:</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Üst yöneticiler, ilgili kanunların izin verdiği çerçevede, kurumlarının ihale süreçlerini, faaliyet ve denetim raporlarını uygun araçlarla kamuoyunun bilgisine sunarlar.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Yöneticilerin hesap verme sorumluluğu:</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kamu hizmetlerinin yerine getirilmesi sırasında sorumlulukları ve yükümlülükleri konusunda hesap verebilir ve kamusal değerlendirme ve denetime her zaman açık ve hazır olurlar.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Yönetici kamu görevlileri, kurumlarının amaç ve politikalarına uygun olmayan işlem veya eylemleri engellemek için görev ve yetkilerinin gerektirdiği önlemleri zamanında alırlar.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lastRenderedPageBreak/>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Eski kamu görevlileriyle ilişkiler: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eski kamu görevlilerini kamu hizmetlerinden ayrıcalıklı bir şekilde faydalandıramaz, onlara imtiyazlı muamelede bulunamaz.</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b/>
          <w:bCs/>
          <w:sz w:val="24"/>
          <w:szCs w:val="24"/>
          <w:lang w:val="tr-TR"/>
        </w:rPr>
        <w:t>Mal bildiriminde bulunma:</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8A47E9" w:rsidRPr="008A47E9" w:rsidRDefault="008A47E9" w:rsidP="008A47E9">
      <w:pPr>
        <w:jc w:val="both"/>
        <w:rPr>
          <w:rFonts w:ascii="Times New Roman" w:hAnsi="Times New Roman" w:cs="Times New Roman"/>
          <w:sz w:val="24"/>
          <w:szCs w:val="24"/>
          <w:lang w:val="tr-TR"/>
        </w:rPr>
      </w:pPr>
      <w:r w:rsidRPr="008A47E9">
        <w:rPr>
          <w:rFonts w:ascii="Times New Roman" w:hAnsi="Times New Roman" w:cs="Times New Roman"/>
          <w:sz w:val="24"/>
          <w:szCs w:val="24"/>
          <w:lang w:val="tr-TR"/>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8A47E9">
        <w:rPr>
          <w:rFonts w:ascii="Times New Roman" w:hAnsi="Times New Roman" w:cs="Times New Roman"/>
          <w:sz w:val="24"/>
          <w:szCs w:val="24"/>
          <w:lang w:val="tr-TR"/>
        </w:rPr>
        <w:t>dahil</w:t>
      </w:r>
      <w:proofErr w:type="gramEnd"/>
      <w:r w:rsidRPr="008A47E9">
        <w:rPr>
          <w:rFonts w:ascii="Times New Roman" w:hAnsi="Times New Roman" w:cs="Times New Roman"/>
          <w:sz w:val="24"/>
          <w:szCs w:val="24"/>
          <w:lang w:val="tr-TR"/>
        </w:rPr>
        <w:t>) talep edilen bilgileri, en geç otuz gün içinde Kurula vermekle yükümlüdürler. </w:t>
      </w:r>
    </w:p>
    <w:p w:rsidR="001B50A1" w:rsidRPr="008A47E9" w:rsidRDefault="001B50A1" w:rsidP="008A47E9">
      <w:pPr>
        <w:jc w:val="both"/>
        <w:rPr>
          <w:rFonts w:ascii="Times New Roman" w:hAnsi="Times New Roman" w:cs="Times New Roman"/>
          <w:sz w:val="24"/>
          <w:szCs w:val="24"/>
        </w:rPr>
      </w:pPr>
    </w:p>
    <w:sectPr w:rsidR="001B50A1" w:rsidRPr="008A4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E9"/>
    <w:rsid w:val="001B50A1"/>
    <w:rsid w:val="008A47E9"/>
    <w:rsid w:val="00A974EC"/>
    <w:rsid w:val="00B74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3E0A1-35F9-4B85-A986-AC872701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47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47E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2539">
      <w:bodyDiv w:val="1"/>
      <w:marLeft w:val="0"/>
      <w:marRight w:val="0"/>
      <w:marTop w:val="0"/>
      <w:marBottom w:val="0"/>
      <w:divBdr>
        <w:top w:val="none" w:sz="0" w:space="0" w:color="auto"/>
        <w:left w:val="none" w:sz="0" w:space="0" w:color="auto"/>
        <w:bottom w:val="none" w:sz="0" w:space="0" w:color="auto"/>
        <w:right w:val="none" w:sz="0" w:space="0" w:color="auto"/>
      </w:divBdr>
    </w:div>
    <w:div w:id="15206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130A-CB24-455A-89E3-EE068445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2</cp:revision>
  <cp:lastPrinted>2017-03-28T09:59:00Z</cp:lastPrinted>
  <dcterms:created xsi:type="dcterms:W3CDTF">2017-04-11T08:07:00Z</dcterms:created>
  <dcterms:modified xsi:type="dcterms:W3CDTF">2017-04-11T08:07:00Z</dcterms:modified>
</cp:coreProperties>
</file>